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F08" w:rsidRPr="00795A84" w:rsidRDefault="00242F08" w:rsidP="00892A51">
      <w:pPr>
        <w:jc w:val="both"/>
        <w:rPr>
          <w:rStyle w:val="s2"/>
          <w:b/>
          <w:bCs/>
        </w:rPr>
      </w:pPr>
      <w:r w:rsidRPr="00795A84">
        <w:t xml:space="preserve">                                                                              </w:t>
      </w:r>
    </w:p>
    <w:p w:rsidR="00242F08" w:rsidRPr="00795A84" w:rsidRDefault="00242F08" w:rsidP="007F1E40">
      <w:pPr>
        <w:pStyle w:val="a3"/>
        <w:spacing w:after="0" w:line="240" w:lineRule="auto"/>
        <w:ind w:left="0"/>
        <w:jc w:val="center"/>
        <w:rPr>
          <w:rStyle w:val="s2"/>
          <w:rFonts w:ascii="Times New Roman" w:hAnsi="Times New Roman"/>
          <w:b/>
          <w:bCs/>
          <w:sz w:val="24"/>
          <w:szCs w:val="24"/>
        </w:rPr>
      </w:pPr>
    </w:p>
    <w:p w:rsidR="007F1E40" w:rsidRPr="00795A84" w:rsidRDefault="007F1E40" w:rsidP="007F1E40">
      <w:pPr>
        <w:pStyle w:val="a3"/>
        <w:spacing w:after="0" w:line="240" w:lineRule="auto"/>
        <w:ind w:left="0"/>
        <w:jc w:val="center"/>
        <w:rPr>
          <w:rStyle w:val="s2"/>
          <w:rFonts w:ascii="Times New Roman" w:hAnsi="Times New Roman"/>
          <w:b/>
          <w:bCs/>
          <w:sz w:val="28"/>
          <w:szCs w:val="28"/>
        </w:rPr>
      </w:pPr>
      <w:r w:rsidRPr="00795A84">
        <w:rPr>
          <w:rStyle w:val="s2"/>
          <w:rFonts w:ascii="Times New Roman" w:hAnsi="Times New Roman"/>
          <w:b/>
          <w:bCs/>
          <w:sz w:val="28"/>
          <w:szCs w:val="28"/>
        </w:rPr>
        <w:t xml:space="preserve">Информация </w:t>
      </w:r>
    </w:p>
    <w:p w:rsidR="00F2259A" w:rsidRPr="00795A84" w:rsidRDefault="00F2259A" w:rsidP="00F2259A">
      <w:pPr>
        <w:spacing w:after="200"/>
        <w:contextualSpacing/>
        <w:jc w:val="both"/>
        <w:rPr>
          <w:b/>
          <w:sz w:val="28"/>
          <w:szCs w:val="28"/>
        </w:rPr>
      </w:pPr>
      <w:r w:rsidRPr="00795A84">
        <w:rPr>
          <w:b/>
          <w:sz w:val="28"/>
          <w:szCs w:val="28"/>
        </w:rPr>
        <w:t>по результатам контрольного мероприятия «Аудит в сфере закупок в рамках  исполнения требований Федерального закона от 05.04.2013 года  N44-ФЗ «О контрактной системе в сфере закупок товаров, работ, услуг для обеспечения государственных и муниципальных нужд в Муниципальном учреждении "Лотошинский парк культуры и отдыха»</w:t>
      </w:r>
    </w:p>
    <w:p w:rsidR="007F1E40" w:rsidRPr="00F2259A" w:rsidRDefault="007F1E40" w:rsidP="007F1E40">
      <w:pPr>
        <w:pStyle w:val="a3"/>
        <w:spacing w:after="0" w:line="240" w:lineRule="auto"/>
        <w:ind w:left="0" w:firstLine="709"/>
        <w:jc w:val="center"/>
        <w:rPr>
          <w:rStyle w:val="s2"/>
          <w:rFonts w:ascii="Times New Roman" w:hAnsi="Times New Roman"/>
          <w:bCs/>
          <w:color w:val="FF0000"/>
          <w:sz w:val="24"/>
          <w:szCs w:val="24"/>
        </w:rPr>
      </w:pPr>
    </w:p>
    <w:p w:rsidR="003B15C5" w:rsidRPr="003B15C5" w:rsidRDefault="003B15C5" w:rsidP="003B15C5">
      <w:pPr>
        <w:ind w:firstLine="709"/>
        <w:jc w:val="both"/>
        <w:rPr>
          <w:sz w:val="28"/>
          <w:szCs w:val="28"/>
        </w:rPr>
      </w:pPr>
      <w:r w:rsidRPr="003B15C5">
        <w:rPr>
          <w:sz w:val="28"/>
          <w:szCs w:val="28"/>
        </w:rPr>
        <w:t xml:space="preserve">1. Основание для проведения контрольного мероприятия: </w:t>
      </w:r>
    </w:p>
    <w:p w:rsidR="003B15C5" w:rsidRPr="003B15C5" w:rsidRDefault="003B15C5" w:rsidP="003B15C5">
      <w:pPr>
        <w:ind w:firstLine="709"/>
        <w:jc w:val="both"/>
        <w:rPr>
          <w:sz w:val="28"/>
          <w:szCs w:val="28"/>
        </w:rPr>
      </w:pPr>
      <w:r w:rsidRPr="003B15C5">
        <w:rPr>
          <w:sz w:val="28"/>
          <w:szCs w:val="28"/>
        </w:rPr>
        <w:t>- пункт 2.7 Плана работы Контрольно-счетной палаты муниципального округа Лотошино  на 2025 год;</w:t>
      </w:r>
    </w:p>
    <w:p w:rsidR="003B15C5" w:rsidRPr="003B15C5" w:rsidRDefault="003B15C5" w:rsidP="003B15C5">
      <w:pPr>
        <w:ind w:firstLine="709"/>
        <w:jc w:val="both"/>
        <w:rPr>
          <w:sz w:val="28"/>
          <w:szCs w:val="28"/>
        </w:rPr>
      </w:pPr>
      <w:r w:rsidRPr="003B15C5">
        <w:rPr>
          <w:sz w:val="28"/>
          <w:szCs w:val="28"/>
        </w:rPr>
        <w:t>- распоряжение Контрольно-счетной палаты муниципального округа Лотошино от 26.05.2025 года №01-04/100-ОД, распоряжение №01-04/101-ОД от 17.06.2025 года «О приостановлении контрольного мероприятия», распоряжение №01-04/106-ОД от 07.07.2025 года «О возобновлении контрольного мероприятия»</w:t>
      </w:r>
    </w:p>
    <w:p w:rsidR="003B15C5" w:rsidRPr="003B15C5" w:rsidRDefault="003B15C5" w:rsidP="003B15C5">
      <w:pPr>
        <w:ind w:firstLine="709"/>
        <w:jc w:val="both"/>
        <w:rPr>
          <w:sz w:val="28"/>
          <w:szCs w:val="28"/>
        </w:rPr>
      </w:pPr>
      <w:r w:rsidRPr="003B15C5">
        <w:rPr>
          <w:sz w:val="28"/>
          <w:szCs w:val="28"/>
        </w:rPr>
        <w:t xml:space="preserve"> 2. Предмет проверки:</w:t>
      </w:r>
    </w:p>
    <w:p w:rsidR="003B15C5" w:rsidRPr="003B15C5" w:rsidRDefault="003B15C5" w:rsidP="003B15C5">
      <w:pPr>
        <w:ind w:firstLine="709"/>
        <w:jc w:val="both"/>
        <w:rPr>
          <w:sz w:val="28"/>
          <w:szCs w:val="28"/>
        </w:rPr>
      </w:pPr>
      <w:r w:rsidRPr="003B15C5">
        <w:rPr>
          <w:sz w:val="28"/>
          <w:szCs w:val="28"/>
        </w:rPr>
        <w:t>Деятельность заказчика и уполномоченного органа (при наличии), уполномоченного учреждения (при наличии), а также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 осуществляемого заказчиком.</w:t>
      </w:r>
    </w:p>
    <w:p w:rsidR="003B15C5" w:rsidRPr="003B15C5" w:rsidRDefault="003B15C5" w:rsidP="003B15C5">
      <w:pPr>
        <w:ind w:firstLine="709"/>
        <w:jc w:val="both"/>
        <w:rPr>
          <w:b/>
          <w:sz w:val="28"/>
          <w:szCs w:val="28"/>
        </w:rPr>
      </w:pPr>
      <w:r w:rsidRPr="003B15C5">
        <w:rPr>
          <w:sz w:val="28"/>
          <w:szCs w:val="28"/>
        </w:rPr>
        <w:t>3. Проверяемый период деятельности: с 01.01.2024 года по 31.12.2024 года, с 01.01.2025 года по 01.06.2025 года.</w:t>
      </w:r>
    </w:p>
    <w:p w:rsidR="003B15C5" w:rsidRPr="003B15C5" w:rsidRDefault="003B15C5" w:rsidP="003B15C5">
      <w:pPr>
        <w:ind w:firstLine="709"/>
        <w:jc w:val="both"/>
        <w:rPr>
          <w:sz w:val="28"/>
          <w:szCs w:val="28"/>
        </w:rPr>
      </w:pPr>
      <w:r w:rsidRPr="003B15C5">
        <w:rPr>
          <w:sz w:val="28"/>
          <w:szCs w:val="28"/>
        </w:rPr>
        <w:t>4. Срок проведения контрольного мероприятия: с 26.05.2025 года по 30.06.2025 года, приостановлено с 17.06.2025 года, возобновлено с 07.07.2025, срок окончания проведения контрольного мероприятия продлен да 18.07.2025 года.</w:t>
      </w:r>
    </w:p>
    <w:p w:rsidR="007F1E40" w:rsidRPr="003B15C5" w:rsidRDefault="007F1E40" w:rsidP="007F1E40">
      <w:pPr>
        <w:ind w:firstLine="709"/>
        <w:jc w:val="both"/>
        <w:rPr>
          <w:sz w:val="28"/>
          <w:szCs w:val="28"/>
          <w:lang w:eastAsia="en-US"/>
        </w:rPr>
      </w:pPr>
      <w:r w:rsidRPr="003B15C5">
        <w:rPr>
          <w:sz w:val="28"/>
          <w:szCs w:val="28"/>
          <w:lang w:eastAsia="en-US"/>
        </w:rPr>
        <w:t>5.</w:t>
      </w:r>
      <w:r w:rsidRPr="003B15C5">
        <w:rPr>
          <w:sz w:val="28"/>
          <w:szCs w:val="28"/>
        </w:rPr>
        <w:t xml:space="preserve"> </w:t>
      </w:r>
      <w:r w:rsidRPr="003B15C5">
        <w:rPr>
          <w:sz w:val="28"/>
          <w:szCs w:val="28"/>
          <w:lang w:eastAsia="en-US"/>
        </w:rPr>
        <w:t xml:space="preserve">Объекты проверки: </w:t>
      </w:r>
      <w:r w:rsidR="003B15C5" w:rsidRPr="003B15C5">
        <w:rPr>
          <w:sz w:val="28"/>
          <w:szCs w:val="28"/>
          <w:lang w:eastAsia="en-US"/>
        </w:rPr>
        <w:t>Муниципальное учреждение «Лотошинский парк культуры и отдыха»</w:t>
      </w:r>
      <w:r w:rsidRPr="003B15C5">
        <w:rPr>
          <w:sz w:val="28"/>
          <w:szCs w:val="28"/>
          <w:lang w:eastAsia="en-US"/>
        </w:rPr>
        <w:t>.</w:t>
      </w:r>
    </w:p>
    <w:p w:rsidR="007F1E40" w:rsidRPr="003B15C5" w:rsidRDefault="007F1E40" w:rsidP="007F1E40">
      <w:pPr>
        <w:ind w:firstLine="709"/>
        <w:jc w:val="both"/>
        <w:rPr>
          <w:sz w:val="28"/>
          <w:szCs w:val="28"/>
          <w:lang w:eastAsia="en-US"/>
        </w:rPr>
      </w:pPr>
      <w:r w:rsidRPr="003B15C5">
        <w:rPr>
          <w:sz w:val="28"/>
          <w:szCs w:val="28"/>
          <w:lang w:eastAsia="en-US"/>
        </w:rPr>
        <w:t>6. Проверка про</w:t>
      </w:r>
      <w:r w:rsidR="003B15C5" w:rsidRPr="003B15C5">
        <w:rPr>
          <w:sz w:val="28"/>
          <w:szCs w:val="28"/>
          <w:lang w:eastAsia="en-US"/>
        </w:rPr>
        <w:t>ведена выборочным способом. Акт</w:t>
      </w:r>
      <w:r w:rsidRPr="003B15C5">
        <w:rPr>
          <w:sz w:val="28"/>
          <w:szCs w:val="28"/>
          <w:lang w:eastAsia="en-US"/>
        </w:rPr>
        <w:t xml:space="preserve"> по результатам про</w:t>
      </w:r>
      <w:r w:rsidR="003B15C5" w:rsidRPr="003B15C5">
        <w:rPr>
          <w:sz w:val="28"/>
          <w:szCs w:val="28"/>
          <w:lang w:eastAsia="en-US"/>
        </w:rPr>
        <w:t>верки от 21.07.2025 года вручен исполняющему обязанности</w:t>
      </w:r>
      <w:r w:rsidRPr="003B15C5">
        <w:rPr>
          <w:sz w:val="28"/>
          <w:szCs w:val="28"/>
          <w:lang w:eastAsia="en-US"/>
        </w:rPr>
        <w:t xml:space="preserve"> руководителя объект</w:t>
      </w:r>
      <w:r w:rsidR="003B15C5" w:rsidRPr="003B15C5">
        <w:rPr>
          <w:sz w:val="28"/>
          <w:szCs w:val="28"/>
          <w:lang w:eastAsia="en-US"/>
        </w:rPr>
        <w:t>а</w:t>
      </w:r>
      <w:r w:rsidRPr="003B15C5">
        <w:rPr>
          <w:sz w:val="28"/>
          <w:szCs w:val="28"/>
          <w:lang w:eastAsia="en-US"/>
        </w:rPr>
        <w:t xml:space="preserve"> проверки.</w:t>
      </w:r>
    </w:p>
    <w:p w:rsidR="007F1E40" w:rsidRPr="003B15C5" w:rsidRDefault="007F1E40" w:rsidP="007F1E40">
      <w:pPr>
        <w:ind w:firstLine="709"/>
        <w:jc w:val="both"/>
        <w:rPr>
          <w:sz w:val="28"/>
          <w:szCs w:val="28"/>
          <w:lang w:eastAsia="en-US"/>
        </w:rPr>
      </w:pPr>
      <w:r w:rsidRPr="003B15C5">
        <w:rPr>
          <w:sz w:val="28"/>
          <w:szCs w:val="28"/>
          <w:lang w:eastAsia="en-US"/>
        </w:rPr>
        <w:t>7. По результатам проверки установлено следующее:</w:t>
      </w:r>
    </w:p>
    <w:p w:rsidR="003B15C5" w:rsidRDefault="003B15C5" w:rsidP="003B15C5">
      <w:pPr>
        <w:ind w:firstLine="709"/>
        <w:jc w:val="both"/>
        <w:rPr>
          <w:sz w:val="28"/>
          <w:szCs w:val="28"/>
        </w:rPr>
      </w:pPr>
      <w:r w:rsidRPr="003B15C5">
        <w:rPr>
          <w:sz w:val="28"/>
          <w:szCs w:val="28"/>
        </w:rPr>
        <w:t>Муниципальное учреждение «Лотошинский парк культуры и отдыха» (далее по тексту Учреждение, МУ «ЛПКиО»)</w:t>
      </w:r>
      <w:r w:rsidRPr="003B15C5">
        <w:rPr>
          <w:b/>
          <w:sz w:val="28"/>
          <w:szCs w:val="28"/>
        </w:rPr>
        <w:t xml:space="preserve"> </w:t>
      </w:r>
      <w:r w:rsidRPr="003B15C5">
        <w:rPr>
          <w:sz w:val="28"/>
          <w:szCs w:val="28"/>
        </w:rPr>
        <w:t>создано распоряжением Главы Лотошинского района Московской области от 19.07.2000 года №129-р в целях организации культурного отдыха населения.</w:t>
      </w:r>
    </w:p>
    <w:p w:rsidR="003B15C5" w:rsidRPr="003B15C5" w:rsidRDefault="003B15C5" w:rsidP="003B15C5">
      <w:pPr>
        <w:ind w:firstLine="709"/>
        <w:jc w:val="both"/>
        <w:rPr>
          <w:sz w:val="28"/>
          <w:szCs w:val="28"/>
        </w:rPr>
      </w:pPr>
      <w:r w:rsidRPr="003B15C5">
        <w:rPr>
          <w:sz w:val="28"/>
          <w:szCs w:val="28"/>
        </w:rPr>
        <w:t xml:space="preserve">Устав муниципального учреждения «Лотошинский парк культуры и отдыха» в новой редакции утвержден Постановлением Главы городского округа Лотошино №203 от 04.03.2020 года (с учетом изменений, внесенных </w:t>
      </w:r>
      <w:r w:rsidRPr="003B15C5">
        <w:rPr>
          <w:sz w:val="28"/>
          <w:szCs w:val="28"/>
        </w:rPr>
        <w:lastRenderedPageBreak/>
        <w:t>постановлением администрации городского округа Лотошино Московской области от 23.01.2025 года № 60 (ГРН в ЕГРЮЛ 2255003467453).</w:t>
      </w:r>
    </w:p>
    <w:p w:rsidR="003B15C5" w:rsidRPr="003B15C5" w:rsidRDefault="003B15C5" w:rsidP="003B15C5">
      <w:pPr>
        <w:ind w:firstLine="709"/>
        <w:jc w:val="both"/>
        <w:rPr>
          <w:sz w:val="28"/>
          <w:szCs w:val="28"/>
        </w:rPr>
      </w:pPr>
      <w:r w:rsidRPr="003B15C5">
        <w:rPr>
          <w:sz w:val="28"/>
          <w:szCs w:val="28"/>
        </w:rPr>
        <w:t>Учредителем и собственником имущества Учреждения является муниципальное образование «Муниципальный  округ Лотошино».</w:t>
      </w:r>
    </w:p>
    <w:p w:rsidR="003B15C5" w:rsidRPr="003B15C5" w:rsidRDefault="003B15C5" w:rsidP="003B15C5">
      <w:pPr>
        <w:ind w:firstLine="709"/>
        <w:jc w:val="both"/>
        <w:rPr>
          <w:sz w:val="28"/>
          <w:szCs w:val="28"/>
        </w:rPr>
      </w:pPr>
      <w:r w:rsidRPr="003B15C5">
        <w:rPr>
          <w:sz w:val="28"/>
          <w:szCs w:val="28"/>
        </w:rPr>
        <w:t>Функции и полномочия Учредителя, собственника имущества, находящегося в оперативном управлении Учреждения, от имени муниципального образования «Муниципальный округ Лотошино» осуществляет администрация муниципального округа Лотошино</w:t>
      </w:r>
    </w:p>
    <w:p w:rsidR="003B15C5" w:rsidRPr="003B15C5" w:rsidRDefault="003B15C5" w:rsidP="003B15C5">
      <w:pPr>
        <w:ind w:firstLine="709"/>
        <w:jc w:val="both"/>
        <w:rPr>
          <w:sz w:val="28"/>
          <w:szCs w:val="28"/>
        </w:rPr>
      </w:pPr>
      <w:r w:rsidRPr="003B15C5">
        <w:rPr>
          <w:sz w:val="28"/>
          <w:szCs w:val="28"/>
        </w:rPr>
        <w:t>Учреждение находится в ведомственном подчинении Отдела по культуре, делам молодежи, спорту и туризму администрации  муниципального округа Лотошино.</w:t>
      </w:r>
    </w:p>
    <w:p w:rsidR="003B15C5" w:rsidRDefault="003B15C5" w:rsidP="003B15C5">
      <w:pPr>
        <w:ind w:firstLine="709"/>
        <w:jc w:val="both"/>
        <w:rPr>
          <w:sz w:val="28"/>
          <w:szCs w:val="28"/>
        </w:rPr>
      </w:pPr>
      <w:r w:rsidRPr="003B15C5">
        <w:rPr>
          <w:sz w:val="28"/>
          <w:szCs w:val="28"/>
        </w:rPr>
        <w:t>Учреждение по своему типу является бюджетным.</w:t>
      </w:r>
    </w:p>
    <w:p w:rsidR="003B15C5" w:rsidRPr="003B15C5" w:rsidRDefault="003B15C5" w:rsidP="003B15C5">
      <w:pPr>
        <w:ind w:firstLine="709"/>
        <w:jc w:val="both"/>
        <w:rPr>
          <w:sz w:val="28"/>
          <w:szCs w:val="28"/>
        </w:rPr>
      </w:pPr>
      <w:r w:rsidRPr="003B15C5">
        <w:rPr>
          <w:sz w:val="28"/>
          <w:szCs w:val="28"/>
        </w:rPr>
        <w:t>Деятельность Учреждения осуществляется на территории объекта культурного наследия: Усадьба Мещерских: парк, пер. пол. XIX в., включенного в Перечень объектов культурного наследия Московской области на основании Постановления Правительства Московской области от 15.03.2002 года №84/9 (номер ОКН 7122). Категория историко-культурного значения: Регионального значения; Вид объекта: Памятник архитектуры.</w:t>
      </w:r>
    </w:p>
    <w:p w:rsidR="003B15C5" w:rsidRPr="003B15C5" w:rsidRDefault="003B15C5" w:rsidP="003B15C5">
      <w:pPr>
        <w:ind w:firstLine="709"/>
        <w:jc w:val="both"/>
        <w:rPr>
          <w:sz w:val="28"/>
          <w:szCs w:val="28"/>
        </w:rPr>
      </w:pPr>
      <w:r w:rsidRPr="003B15C5">
        <w:rPr>
          <w:sz w:val="28"/>
          <w:szCs w:val="28"/>
        </w:rPr>
        <w:t>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 регулируются Федеральным законом от 25.06.2002 года  N 73-ФЗ "Об объектах культурного наследия (памятниках истории и культуры) народов Российской Федерации".</w:t>
      </w:r>
    </w:p>
    <w:p w:rsidR="003B15C5" w:rsidRPr="003B15C5" w:rsidRDefault="003B15C5" w:rsidP="003B15C5">
      <w:pPr>
        <w:ind w:firstLine="709"/>
        <w:jc w:val="both"/>
        <w:rPr>
          <w:sz w:val="28"/>
          <w:szCs w:val="28"/>
        </w:rPr>
      </w:pPr>
      <w:r w:rsidRPr="003B15C5">
        <w:rPr>
          <w:sz w:val="28"/>
          <w:szCs w:val="28"/>
        </w:rPr>
        <w:t xml:space="preserve">Финансовое обеспечение деятельности муниципального учреждения осуществляется Учредителем за счет средств бюджета муниципального округа Лотошино Московской области и плана финансово-хозяйственной деятельности. </w:t>
      </w:r>
    </w:p>
    <w:p w:rsidR="003B15C5" w:rsidRPr="003B15C5" w:rsidRDefault="003B15C5" w:rsidP="003B15C5">
      <w:pPr>
        <w:ind w:firstLine="709"/>
        <w:jc w:val="both"/>
        <w:rPr>
          <w:sz w:val="28"/>
          <w:szCs w:val="28"/>
        </w:rPr>
      </w:pPr>
      <w:r w:rsidRPr="003B15C5">
        <w:rPr>
          <w:sz w:val="28"/>
          <w:szCs w:val="28"/>
        </w:rPr>
        <w:t>В соответствии с предусмотренными основными видами деятельности Учреждение выполняет муниципальное задание, которое формируется и утверждается учредителем.</w:t>
      </w:r>
    </w:p>
    <w:p w:rsidR="003B15C5" w:rsidRPr="003B15C5" w:rsidRDefault="003B15C5" w:rsidP="003B15C5">
      <w:pPr>
        <w:ind w:right="-1" w:firstLine="709"/>
        <w:jc w:val="both"/>
        <w:rPr>
          <w:sz w:val="28"/>
          <w:szCs w:val="28"/>
        </w:rPr>
      </w:pPr>
      <w:r w:rsidRPr="003B15C5">
        <w:rPr>
          <w:sz w:val="28"/>
          <w:szCs w:val="28"/>
        </w:rPr>
        <w:t>В проверяемом периоде бухгалтерское обслуживание финансово-хозяйственной деятельности МУ «ЛПКиО» на основании договора №25 от 02.03.2022 года, организация и ведение бухгалтерского учёта, составление и предоставление в соответствии с законодательством, бюджетной, внебюджетной, налоговой, статистической и иной финансовой отчётности осуществляется МУ «Централизованная бухгалтерия муниципальных учреждений муниципального округа Лотошино».</w:t>
      </w:r>
    </w:p>
    <w:p w:rsidR="003B15C5" w:rsidRDefault="003B15C5" w:rsidP="003B15C5">
      <w:pPr>
        <w:ind w:right="-1" w:firstLine="709"/>
        <w:jc w:val="both"/>
        <w:rPr>
          <w:sz w:val="28"/>
          <w:szCs w:val="28"/>
        </w:rPr>
      </w:pPr>
      <w:r w:rsidRPr="003B15C5">
        <w:rPr>
          <w:sz w:val="28"/>
          <w:szCs w:val="28"/>
        </w:rPr>
        <w:t>В целях централизации закупок, товаров, работ, услуг для муниципальных нужд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№44-ФЗ, Закон о контрактной системе). полномочия муниципального заказчика МУ «ЛПКиО» переданы муниципальному учреждению «Центр муниципальных закупок» (соглашение о передаче полномочий №9 от 29.12.2023 года).</w:t>
      </w:r>
    </w:p>
    <w:p w:rsidR="003B15C5" w:rsidRPr="003B15C5" w:rsidRDefault="003B15C5" w:rsidP="003B15C5">
      <w:pPr>
        <w:ind w:right="-1" w:firstLine="709"/>
        <w:jc w:val="both"/>
        <w:rPr>
          <w:sz w:val="28"/>
          <w:szCs w:val="28"/>
        </w:rPr>
      </w:pPr>
      <w:r w:rsidRPr="003B15C5">
        <w:rPr>
          <w:sz w:val="28"/>
          <w:szCs w:val="28"/>
        </w:rPr>
        <w:lastRenderedPageBreak/>
        <w:t>Закупки, проведённые для нужд  МУ «ЛПКиО» в проверяемом периоде проводились  в рамках подпрограммы  «Развитие профессионального искусства, гастрольно-концертной и культурно-досуговой деятельности, кинематографии» муниципальной программы городского (муниципального) округа Лотошино "Культура и туризм".</w:t>
      </w:r>
    </w:p>
    <w:p w:rsidR="003B15C5" w:rsidRPr="003B15C5" w:rsidRDefault="003B15C5" w:rsidP="003B15C5">
      <w:pPr>
        <w:ind w:right="-1" w:firstLine="709"/>
        <w:jc w:val="both"/>
        <w:rPr>
          <w:sz w:val="28"/>
          <w:szCs w:val="28"/>
        </w:rPr>
      </w:pPr>
      <w:r w:rsidRPr="003B15C5">
        <w:rPr>
          <w:sz w:val="28"/>
          <w:szCs w:val="28"/>
        </w:rPr>
        <w:t>Муниципальная программа городского округа Лотошино "Образование" на 2023-2027 годы утверждена Постановлением администрации городского округа Лотошино №1389 от 14.11.2022 года (в редакции внесенных изменений).</w:t>
      </w:r>
    </w:p>
    <w:p w:rsidR="003B15C5" w:rsidRPr="003B15C5" w:rsidRDefault="003B15C5" w:rsidP="003B15C5">
      <w:pPr>
        <w:ind w:right="-1" w:firstLine="709"/>
        <w:jc w:val="both"/>
        <w:rPr>
          <w:bCs/>
          <w:sz w:val="28"/>
          <w:szCs w:val="28"/>
        </w:rPr>
      </w:pPr>
      <w:r w:rsidRPr="003B15C5">
        <w:rPr>
          <w:bCs/>
          <w:sz w:val="28"/>
          <w:szCs w:val="28"/>
        </w:rPr>
        <w:t>Главным распорядителем средств бюджета городского округа Лотошино является Отдел по культуре, делам молодежи, спорту и туризму администрации муниципального округа Лотошино.</w:t>
      </w:r>
    </w:p>
    <w:p w:rsidR="003B15C5" w:rsidRPr="003B15C5" w:rsidRDefault="003B15C5" w:rsidP="003B15C5">
      <w:pPr>
        <w:ind w:right="-1" w:firstLine="709"/>
        <w:jc w:val="both"/>
        <w:rPr>
          <w:bCs/>
          <w:sz w:val="28"/>
          <w:szCs w:val="28"/>
        </w:rPr>
      </w:pPr>
      <w:r w:rsidRPr="003B15C5">
        <w:rPr>
          <w:bCs/>
          <w:sz w:val="28"/>
          <w:szCs w:val="28"/>
        </w:rPr>
        <w:t>В соответствии с требованиями пункта 6 статьи 9.2 Федерального закона от 12.01.1996 N 7-ФЗ "О некоммерческих организациях" основным источником финансирования деятельности Учреждения являются субсидии на выполнение муниципального задания и на иные цели. Объем субсидий определяется на основании показателей муниципального задания.</w:t>
      </w:r>
    </w:p>
    <w:p w:rsidR="003B15C5" w:rsidRPr="003B15C5" w:rsidRDefault="003B15C5" w:rsidP="003B15C5">
      <w:pPr>
        <w:ind w:right="-1" w:firstLine="709"/>
        <w:jc w:val="both"/>
        <w:rPr>
          <w:bCs/>
          <w:sz w:val="28"/>
          <w:szCs w:val="28"/>
        </w:rPr>
      </w:pPr>
      <w:r w:rsidRPr="003B15C5">
        <w:rPr>
          <w:bCs/>
          <w:sz w:val="28"/>
          <w:szCs w:val="28"/>
        </w:rPr>
        <w:t>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 (пункт 3 статьи 9.2   Федерального закона от 12.01.1996 N 7-ФЗ).</w:t>
      </w:r>
    </w:p>
    <w:p w:rsidR="003B15C5" w:rsidRPr="003B15C5" w:rsidRDefault="003B15C5" w:rsidP="003B15C5">
      <w:pPr>
        <w:ind w:right="-1" w:firstLine="709"/>
        <w:jc w:val="both"/>
        <w:rPr>
          <w:bCs/>
          <w:i/>
          <w:sz w:val="28"/>
          <w:szCs w:val="28"/>
        </w:rPr>
      </w:pPr>
      <w:r w:rsidRPr="003B15C5">
        <w:rPr>
          <w:bCs/>
          <w:i/>
          <w:sz w:val="28"/>
          <w:szCs w:val="28"/>
        </w:rPr>
        <w:t>В нарушение пункта 3 статьи 9.2 Федерального закона от 12.01.1996 года N 7-ФЗ, пункта 5 Положения о формировании муниципальные задания №1070 муниципальное задание МУ «ЛЛПКиО» на 2024 год и плановый период 2025 и 2026 года, на  2025 год и плановый период 2026 и 2027 годы утверждены начальником отдела по культуре, делам молодежи, спорту и туризму соответственно 19.01.2024 года и 21.01.2025 года посредством Государственной информационной системы "Региональный электронный бюджет Московской области".</w:t>
      </w:r>
    </w:p>
    <w:p w:rsidR="003B15C5" w:rsidRPr="003B15C5" w:rsidRDefault="003B15C5" w:rsidP="003B15C5">
      <w:pPr>
        <w:ind w:right="-1" w:firstLine="709"/>
        <w:jc w:val="both"/>
        <w:rPr>
          <w:bCs/>
          <w:i/>
          <w:sz w:val="28"/>
          <w:szCs w:val="28"/>
        </w:rPr>
      </w:pPr>
      <w:r w:rsidRPr="003B15C5">
        <w:rPr>
          <w:bCs/>
          <w:i/>
          <w:sz w:val="28"/>
          <w:szCs w:val="28"/>
        </w:rPr>
        <w:t xml:space="preserve">Полномочия учредителя по формированию и утверждению муниципального задания Отделу по культуре, делам молодежи, спорту и туризму администрации муниципального округа Лотошино не переданы. </w:t>
      </w:r>
    </w:p>
    <w:p w:rsidR="003B15C5" w:rsidRPr="003B15C5" w:rsidRDefault="003B15C5" w:rsidP="003B15C5">
      <w:pPr>
        <w:ind w:right="-1" w:firstLine="709"/>
        <w:jc w:val="both"/>
        <w:rPr>
          <w:bCs/>
          <w:i/>
          <w:sz w:val="28"/>
          <w:szCs w:val="28"/>
        </w:rPr>
      </w:pPr>
      <w:r w:rsidRPr="003B15C5">
        <w:rPr>
          <w:bCs/>
          <w:i/>
          <w:sz w:val="28"/>
          <w:szCs w:val="28"/>
        </w:rPr>
        <w:t>Постановления администрации об утверждении муниципального задания МУ «Лотошинский парк культуры и отдыха»  отсутствуют.</w:t>
      </w:r>
    </w:p>
    <w:p w:rsidR="003B15C5" w:rsidRPr="003B15C5" w:rsidRDefault="003B15C5" w:rsidP="003B15C5">
      <w:pPr>
        <w:ind w:right="-1" w:firstLine="709"/>
        <w:jc w:val="both"/>
        <w:rPr>
          <w:bCs/>
          <w:i/>
          <w:sz w:val="28"/>
          <w:szCs w:val="28"/>
        </w:rPr>
      </w:pPr>
      <w:r w:rsidRPr="003B15C5">
        <w:rPr>
          <w:bCs/>
          <w:i/>
          <w:sz w:val="28"/>
          <w:szCs w:val="28"/>
        </w:rPr>
        <w:t>Сроки утверждения муниципального задания не нарушены.</w:t>
      </w:r>
    </w:p>
    <w:p w:rsidR="003B15C5" w:rsidRPr="003B15C5" w:rsidRDefault="003B15C5" w:rsidP="003B15C5">
      <w:pPr>
        <w:ind w:firstLine="709"/>
        <w:jc w:val="both"/>
        <w:rPr>
          <w:sz w:val="28"/>
          <w:szCs w:val="28"/>
        </w:rPr>
      </w:pPr>
      <w:r w:rsidRPr="003B15C5">
        <w:rPr>
          <w:sz w:val="28"/>
          <w:szCs w:val="28"/>
        </w:rPr>
        <w:t>Муниципальное задание МУ «Лотошинский парк культуры и отдыха» в проверяемом периоде утверждено на оказание следующих муниципальных услуг (выполнение работ):</w:t>
      </w:r>
    </w:p>
    <w:p w:rsidR="003B15C5" w:rsidRPr="003B15C5" w:rsidRDefault="003B15C5" w:rsidP="003B15C5">
      <w:pPr>
        <w:ind w:firstLine="709"/>
        <w:jc w:val="both"/>
        <w:rPr>
          <w:sz w:val="28"/>
          <w:szCs w:val="28"/>
        </w:rPr>
      </w:pPr>
      <w:r w:rsidRPr="003B15C5">
        <w:rPr>
          <w:sz w:val="28"/>
          <w:szCs w:val="28"/>
        </w:rPr>
        <w:t>- Услуга №1 «Организация и проведение мероприятий».</w:t>
      </w:r>
    </w:p>
    <w:p w:rsidR="003B15C5" w:rsidRPr="003B15C5" w:rsidRDefault="003B15C5" w:rsidP="003B15C5">
      <w:pPr>
        <w:ind w:firstLine="709"/>
        <w:jc w:val="both"/>
        <w:rPr>
          <w:sz w:val="28"/>
          <w:szCs w:val="28"/>
        </w:rPr>
      </w:pPr>
      <w:r w:rsidRPr="003B15C5">
        <w:rPr>
          <w:sz w:val="28"/>
          <w:szCs w:val="28"/>
        </w:rPr>
        <w:t>- Работа №1 «Содержание парков культуры и отдыха Московской области»</w:t>
      </w:r>
    </w:p>
    <w:p w:rsidR="003B15C5" w:rsidRPr="003B15C5" w:rsidRDefault="003B15C5" w:rsidP="003B15C5">
      <w:pPr>
        <w:ind w:right="-1" w:firstLine="709"/>
        <w:jc w:val="both"/>
        <w:rPr>
          <w:sz w:val="28"/>
          <w:szCs w:val="28"/>
        </w:rPr>
      </w:pPr>
      <w:r w:rsidRPr="003B15C5">
        <w:rPr>
          <w:sz w:val="28"/>
          <w:szCs w:val="28"/>
        </w:rPr>
        <w:t xml:space="preserve">Соглашение о предоставлении субсидии на финансовое обеспечение выполнения муниципального задания на оказание муниципальных услуг (выполнение работ) на 2024 год №0006 от 19.01.2024 года заключено между отделом по культуре, делам молодежи, спорту и туризму администрации </w:t>
      </w:r>
      <w:r w:rsidRPr="003B15C5">
        <w:rPr>
          <w:sz w:val="28"/>
          <w:szCs w:val="28"/>
        </w:rPr>
        <w:lastRenderedPageBreak/>
        <w:t>городского округа Лотошино и Учреждением. Объем субсидии на выполнение муниципального задания в первоначальной редакции составил 8 648 096,00 рублей.</w:t>
      </w:r>
    </w:p>
    <w:p w:rsidR="003B15C5" w:rsidRPr="003B15C5" w:rsidRDefault="003B15C5" w:rsidP="003B15C5">
      <w:pPr>
        <w:ind w:right="-1" w:firstLine="709"/>
        <w:jc w:val="both"/>
        <w:rPr>
          <w:sz w:val="28"/>
          <w:szCs w:val="28"/>
        </w:rPr>
      </w:pPr>
      <w:r w:rsidRPr="003B15C5">
        <w:rPr>
          <w:sz w:val="28"/>
          <w:szCs w:val="28"/>
        </w:rPr>
        <w:t>Также с учреждением заключено соглашение о предоставлении из бюджета городского округа Лотошино субсидии на иные цели №0004 от 02.02.2024 года. Объем субсидии на иные цели в первоначальной редакции составил 8 716 395,31 рублей. В редакции изменений (дополнительное соглашение №0045 от 12.12.2024 года) объем субсидии на иные цели составил 11 446 154,54 рублей.</w:t>
      </w:r>
    </w:p>
    <w:p w:rsidR="003B15C5" w:rsidRPr="003B15C5" w:rsidRDefault="003B15C5" w:rsidP="003B15C5">
      <w:pPr>
        <w:ind w:right="-1" w:firstLine="709"/>
        <w:jc w:val="both"/>
        <w:rPr>
          <w:sz w:val="28"/>
          <w:szCs w:val="28"/>
        </w:rPr>
      </w:pPr>
      <w:r w:rsidRPr="003B15C5">
        <w:rPr>
          <w:sz w:val="28"/>
          <w:szCs w:val="28"/>
        </w:rPr>
        <w:t>Цель предоставления субсидии на иные цели в 2024 году:</w:t>
      </w:r>
    </w:p>
    <w:p w:rsidR="003B15C5" w:rsidRPr="003B15C5" w:rsidRDefault="003B15C5" w:rsidP="003B15C5">
      <w:pPr>
        <w:ind w:right="-1" w:firstLine="709"/>
        <w:jc w:val="both"/>
        <w:rPr>
          <w:sz w:val="28"/>
          <w:szCs w:val="28"/>
        </w:rPr>
      </w:pPr>
    </w:p>
    <w:tbl>
      <w:tblPr>
        <w:tblStyle w:val="a5"/>
        <w:tblW w:w="0" w:type="auto"/>
        <w:tblLook w:val="04A0" w:firstRow="1" w:lastRow="0" w:firstColumn="1" w:lastColumn="0" w:noHBand="0" w:noVBand="1"/>
      </w:tblPr>
      <w:tblGrid>
        <w:gridCol w:w="5176"/>
        <w:gridCol w:w="1921"/>
        <w:gridCol w:w="2247"/>
      </w:tblGrid>
      <w:tr w:rsidR="003B15C5" w:rsidRPr="003B15C5" w:rsidTr="00971736">
        <w:tc>
          <w:tcPr>
            <w:tcW w:w="5382" w:type="dxa"/>
          </w:tcPr>
          <w:p w:rsidR="003B15C5" w:rsidRPr="003B15C5" w:rsidRDefault="003B15C5" w:rsidP="003B15C5">
            <w:pPr>
              <w:ind w:right="-1"/>
              <w:jc w:val="both"/>
            </w:pPr>
            <w:r w:rsidRPr="003B15C5">
              <w:t>Наименование субсидии</w:t>
            </w:r>
          </w:p>
        </w:tc>
        <w:tc>
          <w:tcPr>
            <w:tcW w:w="1701" w:type="dxa"/>
          </w:tcPr>
          <w:p w:rsidR="003B15C5" w:rsidRPr="003B15C5" w:rsidRDefault="003B15C5" w:rsidP="003B15C5">
            <w:pPr>
              <w:ind w:right="-1"/>
              <w:jc w:val="both"/>
            </w:pPr>
            <w:r w:rsidRPr="003B15C5">
              <w:t>Объем субсидии (первоначальная редакция Соглашения №0004 от 02.02.2024 года) в рублей</w:t>
            </w:r>
          </w:p>
        </w:tc>
        <w:tc>
          <w:tcPr>
            <w:tcW w:w="2262" w:type="dxa"/>
          </w:tcPr>
          <w:p w:rsidR="003B15C5" w:rsidRPr="003B15C5" w:rsidRDefault="003B15C5" w:rsidP="003B15C5">
            <w:pPr>
              <w:ind w:right="-1"/>
              <w:jc w:val="both"/>
            </w:pPr>
            <w:r w:rsidRPr="003B15C5">
              <w:t>Объем субсидии (в редакции дополнительного соглашения №0045 от 12.12.2024 года)</w:t>
            </w:r>
          </w:p>
        </w:tc>
      </w:tr>
      <w:tr w:rsidR="003B15C5" w:rsidRPr="003B15C5" w:rsidTr="00971736">
        <w:tc>
          <w:tcPr>
            <w:tcW w:w="5382" w:type="dxa"/>
          </w:tcPr>
          <w:p w:rsidR="003B15C5" w:rsidRPr="003B15C5" w:rsidRDefault="003B15C5" w:rsidP="003B15C5">
            <w:pPr>
              <w:ind w:right="-1"/>
              <w:jc w:val="both"/>
            </w:pPr>
            <w:r w:rsidRPr="003B15C5">
              <w:t>Приобретение основных средств</w:t>
            </w:r>
          </w:p>
        </w:tc>
        <w:tc>
          <w:tcPr>
            <w:tcW w:w="1701" w:type="dxa"/>
          </w:tcPr>
          <w:p w:rsidR="003B15C5" w:rsidRPr="003B15C5" w:rsidRDefault="003B15C5" w:rsidP="003B15C5">
            <w:pPr>
              <w:ind w:right="-1"/>
              <w:jc w:val="center"/>
            </w:pPr>
            <w:r w:rsidRPr="003B15C5">
              <w:t>51 500,00</w:t>
            </w:r>
          </w:p>
        </w:tc>
        <w:tc>
          <w:tcPr>
            <w:tcW w:w="2262" w:type="dxa"/>
          </w:tcPr>
          <w:p w:rsidR="003B15C5" w:rsidRPr="003B15C5" w:rsidRDefault="003B15C5" w:rsidP="003B15C5">
            <w:pPr>
              <w:ind w:right="-1"/>
              <w:jc w:val="center"/>
            </w:pPr>
            <w:r w:rsidRPr="003B15C5">
              <w:t>40 500,00</w:t>
            </w:r>
          </w:p>
        </w:tc>
      </w:tr>
      <w:tr w:rsidR="003B15C5" w:rsidRPr="003B15C5" w:rsidTr="00971736">
        <w:tc>
          <w:tcPr>
            <w:tcW w:w="5382" w:type="dxa"/>
          </w:tcPr>
          <w:p w:rsidR="003B15C5" w:rsidRPr="003B15C5" w:rsidRDefault="003B15C5" w:rsidP="003B15C5">
            <w:pPr>
              <w:ind w:right="-1"/>
              <w:jc w:val="both"/>
            </w:pPr>
            <w:r w:rsidRPr="003B15C5">
              <w:t>Создание условий для массового отдыха жителей</w:t>
            </w:r>
          </w:p>
        </w:tc>
        <w:tc>
          <w:tcPr>
            <w:tcW w:w="1701" w:type="dxa"/>
          </w:tcPr>
          <w:p w:rsidR="003B15C5" w:rsidRPr="003B15C5" w:rsidRDefault="003B15C5" w:rsidP="003B15C5">
            <w:pPr>
              <w:ind w:right="-1"/>
              <w:jc w:val="center"/>
            </w:pPr>
            <w:r w:rsidRPr="003B15C5">
              <w:t>457 500,00</w:t>
            </w:r>
          </w:p>
        </w:tc>
        <w:tc>
          <w:tcPr>
            <w:tcW w:w="2262" w:type="dxa"/>
          </w:tcPr>
          <w:p w:rsidR="003B15C5" w:rsidRPr="003B15C5" w:rsidRDefault="003B15C5" w:rsidP="003B15C5">
            <w:pPr>
              <w:ind w:right="-1"/>
              <w:jc w:val="center"/>
            </w:pPr>
            <w:r w:rsidRPr="003B15C5">
              <w:t>627 093,47</w:t>
            </w:r>
          </w:p>
        </w:tc>
      </w:tr>
      <w:tr w:rsidR="003B15C5" w:rsidRPr="003B15C5" w:rsidTr="00971736">
        <w:tc>
          <w:tcPr>
            <w:tcW w:w="5382" w:type="dxa"/>
          </w:tcPr>
          <w:p w:rsidR="003B15C5" w:rsidRPr="003B15C5" w:rsidRDefault="003B15C5" w:rsidP="003B15C5">
            <w:pPr>
              <w:ind w:right="-1"/>
              <w:jc w:val="both"/>
            </w:pPr>
            <w:r w:rsidRPr="003B15C5">
              <w:t>Содержание общественных территорий парка</w:t>
            </w:r>
          </w:p>
        </w:tc>
        <w:tc>
          <w:tcPr>
            <w:tcW w:w="1701" w:type="dxa"/>
          </w:tcPr>
          <w:p w:rsidR="003B15C5" w:rsidRPr="003B15C5" w:rsidRDefault="003B15C5" w:rsidP="003B15C5">
            <w:pPr>
              <w:ind w:right="-1"/>
              <w:jc w:val="center"/>
            </w:pPr>
            <w:r w:rsidRPr="003B15C5">
              <w:t>7 272 600,00</w:t>
            </w:r>
          </w:p>
        </w:tc>
        <w:tc>
          <w:tcPr>
            <w:tcW w:w="2262" w:type="dxa"/>
          </w:tcPr>
          <w:p w:rsidR="003B15C5" w:rsidRPr="003B15C5" w:rsidRDefault="003B15C5" w:rsidP="003B15C5">
            <w:pPr>
              <w:ind w:right="-1"/>
              <w:jc w:val="center"/>
            </w:pPr>
            <w:r w:rsidRPr="003B15C5">
              <w:t>6 890 243,97</w:t>
            </w:r>
          </w:p>
        </w:tc>
      </w:tr>
      <w:tr w:rsidR="003B15C5" w:rsidRPr="003B15C5" w:rsidTr="00971736">
        <w:tc>
          <w:tcPr>
            <w:tcW w:w="5382" w:type="dxa"/>
          </w:tcPr>
          <w:p w:rsidR="003B15C5" w:rsidRPr="003B15C5" w:rsidRDefault="003B15C5" w:rsidP="003B15C5">
            <w:pPr>
              <w:ind w:right="-1"/>
              <w:jc w:val="both"/>
            </w:pPr>
            <w:r w:rsidRPr="003B15C5">
              <w:t>Приобретение купольной сцены</w:t>
            </w:r>
          </w:p>
        </w:tc>
        <w:tc>
          <w:tcPr>
            <w:tcW w:w="1701" w:type="dxa"/>
          </w:tcPr>
          <w:p w:rsidR="003B15C5" w:rsidRPr="003B15C5" w:rsidRDefault="003B15C5" w:rsidP="003B15C5">
            <w:pPr>
              <w:ind w:right="-1"/>
              <w:jc w:val="center"/>
            </w:pPr>
            <w:r w:rsidRPr="003B15C5">
              <w:t>0</w:t>
            </w:r>
          </w:p>
        </w:tc>
        <w:tc>
          <w:tcPr>
            <w:tcW w:w="2262" w:type="dxa"/>
          </w:tcPr>
          <w:p w:rsidR="003B15C5" w:rsidRPr="003B15C5" w:rsidRDefault="003B15C5" w:rsidP="003B15C5">
            <w:pPr>
              <w:ind w:right="-1"/>
              <w:jc w:val="center"/>
            </w:pPr>
            <w:r w:rsidRPr="003B15C5">
              <w:t>2 700 000,00</w:t>
            </w:r>
          </w:p>
        </w:tc>
      </w:tr>
      <w:tr w:rsidR="003B15C5" w:rsidRPr="003B15C5" w:rsidTr="00971736">
        <w:tc>
          <w:tcPr>
            <w:tcW w:w="5382" w:type="dxa"/>
          </w:tcPr>
          <w:p w:rsidR="003B15C5" w:rsidRPr="003B15C5" w:rsidRDefault="003B15C5" w:rsidP="003B15C5">
            <w:pPr>
              <w:ind w:right="-1"/>
              <w:jc w:val="both"/>
            </w:pPr>
            <w:r w:rsidRPr="003B15C5">
              <w:t>Изготовление паспорта парка – объекта культурного наследия</w:t>
            </w:r>
          </w:p>
        </w:tc>
        <w:tc>
          <w:tcPr>
            <w:tcW w:w="1701" w:type="dxa"/>
          </w:tcPr>
          <w:p w:rsidR="003B15C5" w:rsidRPr="003B15C5" w:rsidRDefault="003B15C5" w:rsidP="003B15C5">
            <w:pPr>
              <w:ind w:right="-1"/>
              <w:jc w:val="center"/>
            </w:pPr>
            <w:r w:rsidRPr="003B15C5">
              <w:t>0</w:t>
            </w:r>
          </w:p>
        </w:tc>
        <w:tc>
          <w:tcPr>
            <w:tcW w:w="2262" w:type="dxa"/>
          </w:tcPr>
          <w:p w:rsidR="003B15C5" w:rsidRPr="003B15C5" w:rsidRDefault="003B15C5" w:rsidP="003B15C5">
            <w:pPr>
              <w:ind w:right="-1"/>
              <w:jc w:val="center"/>
            </w:pPr>
            <w:r w:rsidRPr="003B15C5">
              <w:t>455 000,00</w:t>
            </w:r>
          </w:p>
        </w:tc>
      </w:tr>
      <w:tr w:rsidR="003B15C5" w:rsidRPr="003B15C5" w:rsidTr="00971736">
        <w:tc>
          <w:tcPr>
            <w:tcW w:w="5382" w:type="dxa"/>
          </w:tcPr>
          <w:p w:rsidR="003B15C5" w:rsidRPr="003B15C5" w:rsidRDefault="003B15C5" w:rsidP="003B15C5">
            <w:pPr>
              <w:ind w:right="-1"/>
              <w:jc w:val="both"/>
            </w:pPr>
            <w:r w:rsidRPr="003B15C5">
              <w:t>Оплата судебной экспертизы</w:t>
            </w:r>
          </w:p>
        </w:tc>
        <w:tc>
          <w:tcPr>
            <w:tcW w:w="1701" w:type="dxa"/>
          </w:tcPr>
          <w:p w:rsidR="003B15C5" w:rsidRPr="003B15C5" w:rsidRDefault="003B15C5" w:rsidP="003B15C5">
            <w:pPr>
              <w:ind w:right="-1"/>
              <w:jc w:val="center"/>
            </w:pPr>
            <w:r w:rsidRPr="003B15C5">
              <w:t>0</w:t>
            </w:r>
          </w:p>
        </w:tc>
        <w:tc>
          <w:tcPr>
            <w:tcW w:w="2262" w:type="dxa"/>
          </w:tcPr>
          <w:p w:rsidR="003B15C5" w:rsidRPr="003B15C5" w:rsidRDefault="003B15C5" w:rsidP="003B15C5">
            <w:pPr>
              <w:ind w:right="-1"/>
              <w:jc w:val="center"/>
            </w:pPr>
            <w:r w:rsidRPr="003B15C5">
              <w:t>320 000,00</w:t>
            </w:r>
          </w:p>
        </w:tc>
      </w:tr>
      <w:tr w:rsidR="003B15C5" w:rsidRPr="003B15C5" w:rsidTr="00971736">
        <w:tc>
          <w:tcPr>
            <w:tcW w:w="5382" w:type="dxa"/>
          </w:tcPr>
          <w:p w:rsidR="003B15C5" w:rsidRPr="003B15C5" w:rsidRDefault="003B15C5" w:rsidP="003B15C5">
            <w:pPr>
              <w:ind w:right="-1"/>
              <w:jc w:val="both"/>
            </w:pPr>
            <w:r w:rsidRPr="003B15C5">
              <w:t>Сохранение достигнутого уровня заработной платы</w:t>
            </w:r>
          </w:p>
        </w:tc>
        <w:tc>
          <w:tcPr>
            <w:tcW w:w="1701" w:type="dxa"/>
          </w:tcPr>
          <w:p w:rsidR="003B15C5" w:rsidRPr="003B15C5" w:rsidRDefault="003B15C5" w:rsidP="003B15C5">
            <w:pPr>
              <w:ind w:right="-1"/>
              <w:jc w:val="center"/>
            </w:pPr>
            <w:r w:rsidRPr="003B15C5">
              <w:t>0</w:t>
            </w:r>
          </w:p>
        </w:tc>
        <w:tc>
          <w:tcPr>
            <w:tcW w:w="2262" w:type="dxa"/>
          </w:tcPr>
          <w:p w:rsidR="003B15C5" w:rsidRPr="003B15C5" w:rsidRDefault="003B15C5" w:rsidP="003B15C5">
            <w:pPr>
              <w:ind w:right="-1"/>
              <w:jc w:val="center"/>
            </w:pPr>
            <w:r w:rsidRPr="003B15C5">
              <w:t>413 317,00</w:t>
            </w:r>
          </w:p>
        </w:tc>
      </w:tr>
      <w:tr w:rsidR="003B15C5" w:rsidRPr="003B15C5" w:rsidTr="00971736">
        <w:tc>
          <w:tcPr>
            <w:tcW w:w="5382" w:type="dxa"/>
          </w:tcPr>
          <w:p w:rsidR="003B15C5" w:rsidRPr="003B15C5" w:rsidRDefault="003B15C5" w:rsidP="003B15C5">
            <w:pPr>
              <w:ind w:right="-1"/>
              <w:jc w:val="both"/>
            </w:pPr>
            <w:r w:rsidRPr="003B15C5">
              <w:t>Итого</w:t>
            </w:r>
          </w:p>
        </w:tc>
        <w:tc>
          <w:tcPr>
            <w:tcW w:w="1701" w:type="dxa"/>
          </w:tcPr>
          <w:p w:rsidR="003B15C5" w:rsidRPr="003B15C5" w:rsidRDefault="003B15C5" w:rsidP="003B15C5">
            <w:pPr>
              <w:ind w:right="-1"/>
              <w:jc w:val="center"/>
            </w:pPr>
            <w:r w:rsidRPr="003B15C5">
              <w:t>8 716 394,31</w:t>
            </w:r>
          </w:p>
        </w:tc>
        <w:tc>
          <w:tcPr>
            <w:tcW w:w="2262" w:type="dxa"/>
          </w:tcPr>
          <w:p w:rsidR="003B15C5" w:rsidRPr="003B15C5" w:rsidRDefault="003B15C5" w:rsidP="003B15C5">
            <w:pPr>
              <w:ind w:right="-1"/>
              <w:jc w:val="center"/>
            </w:pPr>
            <w:r w:rsidRPr="003B15C5">
              <w:t>11 446 154,54</w:t>
            </w:r>
          </w:p>
        </w:tc>
      </w:tr>
    </w:tbl>
    <w:p w:rsidR="003B15C5" w:rsidRPr="003B15C5" w:rsidRDefault="003B15C5" w:rsidP="003B15C5">
      <w:pPr>
        <w:ind w:right="-1" w:firstLine="709"/>
        <w:jc w:val="both"/>
        <w:rPr>
          <w:color w:val="FF0000"/>
        </w:rPr>
      </w:pPr>
    </w:p>
    <w:p w:rsidR="003B15C5" w:rsidRPr="003B15C5" w:rsidRDefault="003B15C5" w:rsidP="003B15C5">
      <w:pPr>
        <w:ind w:right="-1" w:firstLine="709"/>
        <w:jc w:val="both"/>
        <w:rPr>
          <w:sz w:val="28"/>
          <w:szCs w:val="28"/>
        </w:rPr>
      </w:pPr>
      <w:r w:rsidRPr="003B15C5">
        <w:rPr>
          <w:sz w:val="28"/>
          <w:szCs w:val="28"/>
        </w:rPr>
        <w:t>Соглашение о предоставлении субсидии на финансовое обеспечение выполнения муниципального задания на оказание муниципальных услуг (выполнение работ) на 2025 год №0006 заключено 27.01.2025 года. Объем субсидии на выполнение муниципального задания в первоначальной редакции составил 10 861 500,00 рублей.</w:t>
      </w:r>
    </w:p>
    <w:p w:rsidR="003B15C5" w:rsidRPr="003B15C5" w:rsidRDefault="003B15C5" w:rsidP="003B15C5">
      <w:pPr>
        <w:ind w:right="-1" w:firstLine="709"/>
        <w:jc w:val="both"/>
        <w:rPr>
          <w:sz w:val="28"/>
          <w:szCs w:val="28"/>
        </w:rPr>
      </w:pPr>
      <w:r w:rsidRPr="003B15C5">
        <w:rPr>
          <w:sz w:val="28"/>
          <w:szCs w:val="28"/>
        </w:rPr>
        <w:t>Также с учреждением заключено соглашение о предоставлении из бюджета городского округа Лотошино субсидии на иные цели №0006 от 28.01.2025 года. Объем субсидии на иные цели в первоначальной редакции составил 6 785 000,00 рублей. Цель предоставления субсидии на иные цели в 2025 году:</w:t>
      </w:r>
    </w:p>
    <w:tbl>
      <w:tblPr>
        <w:tblStyle w:val="a5"/>
        <w:tblW w:w="9351" w:type="dxa"/>
        <w:tblLook w:val="04A0" w:firstRow="1" w:lastRow="0" w:firstColumn="1" w:lastColumn="0" w:noHBand="0" w:noVBand="1"/>
      </w:tblPr>
      <w:tblGrid>
        <w:gridCol w:w="6941"/>
        <w:gridCol w:w="2410"/>
      </w:tblGrid>
      <w:tr w:rsidR="003B15C5" w:rsidRPr="003B15C5" w:rsidTr="00971736">
        <w:tc>
          <w:tcPr>
            <w:tcW w:w="6941" w:type="dxa"/>
          </w:tcPr>
          <w:p w:rsidR="003B15C5" w:rsidRPr="003B15C5" w:rsidRDefault="003B15C5" w:rsidP="003B15C5">
            <w:pPr>
              <w:ind w:right="-1"/>
              <w:jc w:val="both"/>
            </w:pPr>
            <w:r w:rsidRPr="003B15C5">
              <w:t>Наименование субсидии</w:t>
            </w:r>
          </w:p>
        </w:tc>
        <w:tc>
          <w:tcPr>
            <w:tcW w:w="2410" w:type="dxa"/>
          </w:tcPr>
          <w:p w:rsidR="003B15C5" w:rsidRPr="003B15C5" w:rsidRDefault="003B15C5" w:rsidP="003B15C5">
            <w:pPr>
              <w:ind w:right="-1"/>
              <w:jc w:val="both"/>
            </w:pPr>
            <w:r w:rsidRPr="003B15C5">
              <w:t>Объем субсидии  в рублей</w:t>
            </w:r>
          </w:p>
        </w:tc>
      </w:tr>
      <w:tr w:rsidR="003B15C5" w:rsidRPr="003B15C5" w:rsidTr="00971736">
        <w:tc>
          <w:tcPr>
            <w:tcW w:w="6941" w:type="dxa"/>
          </w:tcPr>
          <w:p w:rsidR="003B15C5" w:rsidRPr="003B15C5" w:rsidRDefault="003B15C5" w:rsidP="003B15C5">
            <w:pPr>
              <w:ind w:right="-1"/>
              <w:jc w:val="both"/>
            </w:pPr>
            <w:r w:rsidRPr="003B15C5">
              <w:t>Монтаж камер видеонаблюдения</w:t>
            </w:r>
          </w:p>
        </w:tc>
        <w:tc>
          <w:tcPr>
            <w:tcW w:w="2410" w:type="dxa"/>
          </w:tcPr>
          <w:p w:rsidR="003B15C5" w:rsidRPr="003B15C5" w:rsidRDefault="003B15C5" w:rsidP="003B15C5">
            <w:pPr>
              <w:ind w:right="-1"/>
              <w:jc w:val="center"/>
            </w:pPr>
            <w:r w:rsidRPr="003B15C5">
              <w:t>909 000,00</w:t>
            </w:r>
          </w:p>
        </w:tc>
      </w:tr>
      <w:tr w:rsidR="003B15C5" w:rsidRPr="003B15C5" w:rsidTr="00971736">
        <w:tc>
          <w:tcPr>
            <w:tcW w:w="6941" w:type="dxa"/>
          </w:tcPr>
          <w:p w:rsidR="003B15C5" w:rsidRPr="003B15C5" w:rsidRDefault="003B15C5" w:rsidP="003B15C5">
            <w:pPr>
              <w:ind w:right="-1"/>
              <w:jc w:val="both"/>
            </w:pPr>
            <w:r w:rsidRPr="003B15C5">
              <w:t>Создание условий для массового отдыха жителей</w:t>
            </w:r>
          </w:p>
        </w:tc>
        <w:tc>
          <w:tcPr>
            <w:tcW w:w="2410" w:type="dxa"/>
          </w:tcPr>
          <w:p w:rsidR="003B15C5" w:rsidRPr="003B15C5" w:rsidRDefault="003B15C5" w:rsidP="003B15C5">
            <w:pPr>
              <w:ind w:right="-1"/>
              <w:jc w:val="center"/>
            </w:pPr>
            <w:r w:rsidRPr="003B15C5">
              <w:t>916 000,00</w:t>
            </w:r>
          </w:p>
        </w:tc>
      </w:tr>
      <w:tr w:rsidR="003B15C5" w:rsidRPr="003B15C5" w:rsidTr="00971736">
        <w:tc>
          <w:tcPr>
            <w:tcW w:w="6941" w:type="dxa"/>
          </w:tcPr>
          <w:p w:rsidR="003B15C5" w:rsidRPr="003B15C5" w:rsidRDefault="003B15C5" w:rsidP="003B15C5">
            <w:pPr>
              <w:ind w:right="-1"/>
              <w:jc w:val="both"/>
            </w:pPr>
            <w:r w:rsidRPr="003B15C5">
              <w:t>Содержание общественных территорий парка</w:t>
            </w:r>
          </w:p>
        </w:tc>
        <w:tc>
          <w:tcPr>
            <w:tcW w:w="2410" w:type="dxa"/>
          </w:tcPr>
          <w:p w:rsidR="003B15C5" w:rsidRPr="003B15C5" w:rsidRDefault="003B15C5" w:rsidP="003B15C5">
            <w:pPr>
              <w:ind w:right="-1"/>
              <w:jc w:val="center"/>
            </w:pPr>
            <w:r w:rsidRPr="003B15C5">
              <w:t>4 900 000,00</w:t>
            </w:r>
          </w:p>
        </w:tc>
      </w:tr>
      <w:tr w:rsidR="003B15C5" w:rsidRPr="003B15C5" w:rsidTr="00971736">
        <w:tc>
          <w:tcPr>
            <w:tcW w:w="6941" w:type="dxa"/>
          </w:tcPr>
          <w:p w:rsidR="003B15C5" w:rsidRPr="003B15C5" w:rsidRDefault="003B15C5" w:rsidP="003B15C5">
            <w:pPr>
              <w:ind w:right="-1"/>
              <w:jc w:val="both"/>
            </w:pPr>
            <w:r w:rsidRPr="003B15C5">
              <w:t>Итого</w:t>
            </w:r>
          </w:p>
        </w:tc>
        <w:tc>
          <w:tcPr>
            <w:tcW w:w="2410" w:type="dxa"/>
          </w:tcPr>
          <w:p w:rsidR="003B15C5" w:rsidRPr="003B15C5" w:rsidRDefault="003B15C5" w:rsidP="003B15C5">
            <w:pPr>
              <w:ind w:right="-1"/>
              <w:jc w:val="center"/>
              <w:rPr>
                <w:lang w:val="en-US"/>
              </w:rPr>
            </w:pPr>
            <w:r w:rsidRPr="003B15C5">
              <w:t>6 785 000,00</w:t>
            </w:r>
          </w:p>
        </w:tc>
      </w:tr>
    </w:tbl>
    <w:p w:rsidR="00766DC5" w:rsidRDefault="00766DC5" w:rsidP="00766DC5">
      <w:pPr>
        <w:spacing w:after="200"/>
        <w:ind w:firstLine="709"/>
        <w:jc w:val="both"/>
        <w:rPr>
          <w:b/>
          <w:color w:val="FF0000"/>
        </w:rPr>
      </w:pPr>
    </w:p>
    <w:p w:rsidR="003B15C5" w:rsidRPr="003B15C5" w:rsidRDefault="003B15C5" w:rsidP="003B15C5">
      <w:pPr>
        <w:ind w:right="-1" w:firstLine="709"/>
        <w:jc w:val="both"/>
        <w:rPr>
          <w:sz w:val="28"/>
          <w:szCs w:val="28"/>
        </w:rPr>
      </w:pPr>
      <w:r w:rsidRPr="003B15C5">
        <w:rPr>
          <w:sz w:val="28"/>
          <w:szCs w:val="28"/>
        </w:rPr>
        <w:t xml:space="preserve">За проверяемый период все закупки для обеспечения собственных нужд </w:t>
      </w:r>
      <w:r w:rsidR="008A6E4E">
        <w:rPr>
          <w:sz w:val="28"/>
          <w:szCs w:val="28"/>
        </w:rPr>
        <w:t>о</w:t>
      </w:r>
      <w:r w:rsidRPr="003B15C5">
        <w:rPr>
          <w:sz w:val="28"/>
          <w:szCs w:val="28"/>
        </w:rPr>
        <w:t xml:space="preserve">бъектом контроля осуществлялись в соответствии с законодательством о </w:t>
      </w:r>
      <w:r w:rsidRPr="003B15C5">
        <w:rPr>
          <w:sz w:val="28"/>
          <w:szCs w:val="28"/>
        </w:rPr>
        <w:lastRenderedPageBreak/>
        <w:t>контрактной системе в сфере закупок товаров, работ, услуг. В соответствии с Федеральным законом от 05.04.2013г. № 44-ФЗ и действующими нормативно-правовыми актами Российской Федерации планы-графики закупок за проверяемый период сформированы, утверждены и размещены в ЕИС.</w:t>
      </w:r>
    </w:p>
    <w:p w:rsidR="003B15C5" w:rsidRPr="003B15C5" w:rsidRDefault="003B15C5" w:rsidP="003B15C5">
      <w:pPr>
        <w:ind w:right="-1" w:firstLine="709"/>
        <w:jc w:val="both"/>
        <w:rPr>
          <w:sz w:val="28"/>
          <w:szCs w:val="28"/>
        </w:rPr>
      </w:pPr>
      <w:r>
        <w:rPr>
          <w:sz w:val="28"/>
          <w:szCs w:val="28"/>
        </w:rPr>
        <w:t>О</w:t>
      </w:r>
      <w:r w:rsidRPr="003B15C5">
        <w:rPr>
          <w:sz w:val="28"/>
          <w:szCs w:val="28"/>
        </w:rPr>
        <w:t>бъектом контроля, за проверяемый период, закупки осуществлялись с использованием конкурентных способов определения поставщика: аукциона в электронной форме, а также проводились закупки у единственного поставщика в соответствии со статьей 93 Федерального закона от 05.04.2013 г. № 44-ФЗ .</w:t>
      </w:r>
    </w:p>
    <w:p w:rsidR="003B15C5" w:rsidRPr="003B15C5" w:rsidRDefault="003B15C5" w:rsidP="003B15C5">
      <w:pPr>
        <w:ind w:right="-1" w:firstLine="709"/>
        <w:jc w:val="both"/>
        <w:rPr>
          <w:sz w:val="28"/>
          <w:szCs w:val="28"/>
        </w:rPr>
      </w:pPr>
      <w:r w:rsidRPr="003B15C5">
        <w:rPr>
          <w:sz w:val="28"/>
          <w:szCs w:val="28"/>
        </w:rPr>
        <w:t>В целях соблюдения требований статьи 38 Федерального закона от 05.04.2013 г. №44-ФЗ при осуществлении закупок для собственных нужд контрактным управляющим в проверяемом периоде назначен директор Учреждения (приказы №3 от 09.01.2024 года, №3 от 09.01.2025 года).</w:t>
      </w:r>
    </w:p>
    <w:p w:rsidR="003B15C5" w:rsidRPr="003B15C5" w:rsidRDefault="003B15C5" w:rsidP="003B15C5">
      <w:pPr>
        <w:ind w:right="-1" w:firstLine="709"/>
        <w:jc w:val="both"/>
        <w:rPr>
          <w:sz w:val="28"/>
          <w:szCs w:val="28"/>
        </w:rPr>
      </w:pPr>
      <w:r w:rsidRPr="003B15C5">
        <w:rPr>
          <w:sz w:val="28"/>
          <w:szCs w:val="28"/>
        </w:rPr>
        <w:t>Приказом Минтруда России от 10.09.2015 N 625н утвержден профессиональный стандарт "Специалист в сфере закупок". Стандарт разработан во исполнение статьи 195.1 Трудового кодекса Российской Федерации и призваны в том числе обеспечить принцип профессионализма заказчика, предусмотренный положениями статьи 9 Закона о контрактной системе.</w:t>
      </w:r>
    </w:p>
    <w:p w:rsidR="003B15C5" w:rsidRPr="003B15C5" w:rsidRDefault="003B15C5" w:rsidP="003B15C5">
      <w:pPr>
        <w:ind w:right="-1" w:firstLine="709"/>
        <w:jc w:val="both"/>
        <w:rPr>
          <w:sz w:val="28"/>
          <w:szCs w:val="28"/>
        </w:rPr>
      </w:pPr>
      <w:r w:rsidRPr="003B15C5">
        <w:rPr>
          <w:sz w:val="28"/>
          <w:szCs w:val="28"/>
        </w:rPr>
        <w:t>В соответствии с требованиями стандарта "Специалист в сфере закупок" требованием к образованию и обучению  должности «Контрактный управляющий» является «Дополнительное профессиональное образование - программы повышения квалификации и программы профессиональной переподготовки в сфере закупок».</w:t>
      </w:r>
    </w:p>
    <w:p w:rsidR="003B15C5" w:rsidRPr="003B15C5" w:rsidRDefault="003B15C5" w:rsidP="003B15C5">
      <w:pPr>
        <w:ind w:right="-1" w:firstLine="709"/>
        <w:jc w:val="both"/>
        <w:rPr>
          <w:i/>
          <w:sz w:val="28"/>
          <w:szCs w:val="28"/>
        </w:rPr>
      </w:pPr>
      <w:r w:rsidRPr="003B15C5">
        <w:rPr>
          <w:i/>
          <w:sz w:val="28"/>
          <w:szCs w:val="28"/>
        </w:rPr>
        <w:t>В нарушение  части 6 статьи 38 Закона N 44-ФЗ контрактный управляющий на момент проверки не имеет дополнительное профессиональное образование в сфере закупок.</w:t>
      </w:r>
    </w:p>
    <w:p w:rsidR="003B15C5" w:rsidRPr="003B15C5" w:rsidRDefault="003B15C5" w:rsidP="003B15C5">
      <w:pPr>
        <w:ind w:right="-1" w:firstLine="709"/>
        <w:jc w:val="both"/>
        <w:rPr>
          <w:sz w:val="28"/>
          <w:szCs w:val="28"/>
        </w:rPr>
      </w:pPr>
      <w:r w:rsidRPr="003B15C5">
        <w:rPr>
          <w:sz w:val="28"/>
          <w:szCs w:val="28"/>
        </w:rPr>
        <w:t>При этом, согласно ч. 1 ст. 15, ч. 2 ст. 57 ТК РФ указанная трудовая функция (исполнение обязанности контрактного управляющего) является одним из условий трудового договора. Внесение изменений в условия трудового договора директора МУ «ЛПКиО» о дополнительной трудовой функции работодателем не осуществлялось.</w:t>
      </w:r>
    </w:p>
    <w:p w:rsidR="003B15C5" w:rsidRDefault="008A6E4E" w:rsidP="003B15C5">
      <w:pPr>
        <w:ind w:right="-1" w:firstLine="709"/>
        <w:jc w:val="both"/>
        <w:rPr>
          <w:i/>
          <w:sz w:val="28"/>
          <w:szCs w:val="28"/>
        </w:rPr>
      </w:pPr>
      <w:r w:rsidRPr="008A6E4E">
        <w:rPr>
          <w:i/>
          <w:sz w:val="28"/>
          <w:szCs w:val="28"/>
        </w:rPr>
        <w:t>Аналогичное нарушение установлено в 2022 году (акт контрольно-счетной палаты от 19.07.2022 года).</w:t>
      </w:r>
    </w:p>
    <w:p w:rsidR="00630489" w:rsidRDefault="00630489" w:rsidP="003B15C5">
      <w:pPr>
        <w:ind w:right="-1" w:firstLine="709"/>
        <w:jc w:val="both"/>
        <w:rPr>
          <w:i/>
          <w:sz w:val="28"/>
          <w:szCs w:val="28"/>
        </w:rPr>
      </w:pPr>
    </w:p>
    <w:p w:rsidR="00630489" w:rsidRDefault="00630489" w:rsidP="00630489">
      <w:pPr>
        <w:ind w:right="-1" w:firstLine="709"/>
        <w:jc w:val="both"/>
        <w:rPr>
          <w:b/>
          <w:i/>
          <w:sz w:val="28"/>
          <w:szCs w:val="28"/>
        </w:rPr>
      </w:pPr>
      <w:r w:rsidRPr="00630489">
        <w:rPr>
          <w:b/>
          <w:i/>
          <w:sz w:val="28"/>
          <w:szCs w:val="28"/>
        </w:rPr>
        <w:t xml:space="preserve"> В ходе оценки планирования и сравнительного анализа эффективности закупок установлено следующее: </w:t>
      </w:r>
    </w:p>
    <w:p w:rsidR="002B2BE0" w:rsidRDefault="002B2BE0" w:rsidP="00630489">
      <w:pPr>
        <w:ind w:right="-1" w:firstLine="709"/>
        <w:jc w:val="both"/>
        <w:rPr>
          <w:b/>
          <w:i/>
          <w:sz w:val="28"/>
          <w:szCs w:val="28"/>
        </w:rPr>
      </w:pPr>
    </w:p>
    <w:p w:rsidR="002B2BE0" w:rsidRPr="002B2BE0" w:rsidRDefault="002B2BE0" w:rsidP="002B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2BE0">
        <w:rPr>
          <w:sz w:val="28"/>
          <w:szCs w:val="28"/>
        </w:rPr>
        <w:t xml:space="preserve">Первоначальная версия плана-графика закупок на 2024 год  </w:t>
      </w:r>
      <w:r>
        <w:rPr>
          <w:sz w:val="28"/>
          <w:szCs w:val="28"/>
        </w:rPr>
        <w:t xml:space="preserve">и плановый период 2025 и 2026 годов </w:t>
      </w:r>
      <w:r w:rsidRPr="002B2BE0">
        <w:rPr>
          <w:sz w:val="28"/>
          <w:szCs w:val="28"/>
        </w:rPr>
        <w:t xml:space="preserve">(УН  в ЕИС  № 202403483001452001)  утверждена 15.01.2024 года, то есть в </w:t>
      </w:r>
      <w:r>
        <w:rPr>
          <w:sz w:val="28"/>
          <w:szCs w:val="28"/>
        </w:rPr>
        <w:t>сроки установленные статьей 16 З</w:t>
      </w:r>
      <w:r w:rsidRPr="002B2BE0">
        <w:rPr>
          <w:sz w:val="28"/>
          <w:szCs w:val="28"/>
        </w:rPr>
        <w:t>акона № 44-ФЗ.</w:t>
      </w:r>
    </w:p>
    <w:p w:rsidR="002B2BE0" w:rsidRPr="002B2BE0" w:rsidRDefault="002B2BE0" w:rsidP="002B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2BE0">
        <w:rPr>
          <w:sz w:val="28"/>
          <w:szCs w:val="28"/>
        </w:rPr>
        <w:t>План-график (первоначальная версия) размещен в ЕИС 15.01.2024 года. Изменения в план-график вносились 36 раз. Окончательная (действующая) редакция плана-графика утверждена 12.02.2025 года и размещена в ЕИС 12.02.2025 года.</w:t>
      </w:r>
    </w:p>
    <w:p w:rsidR="002B2BE0" w:rsidRPr="002B2BE0" w:rsidRDefault="002B2BE0" w:rsidP="002B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2BE0">
        <w:rPr>
          <w:sz w:val="28"/>
          <w:szCs w:val="28"/>
        </w:rPr>
        <w:lastRenderedPageBreak/>
        <w:t>Совокупный годовой объем закупок на 2024 год в первоначальной версии плана-графика (версия 0 от 15.01.2024 года) утвержден в сумме 1,0 тыс. рублей. В окончательной редакции плана-графика (версия 36 от 12.02.2025 года) совокупный годовой объем закупок утвержден в сумме 12 830,7 тыс. рублей. В версии №34 от 24.12.2024 года совокупный годовой объем закупок утвержден в сумме 12 830,7 тыс. рублей.</w:t>
      </w:r>
    </w:p>
    <w:p w:rsidR="002B2BE0" w:rsidRPr="002B2BE0" w:rsidRDefault="002B2BE0" w:rsidP="002B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2B2BE0">
        <w:rPr>
          <w:sz w:val="28"/>
          <w:szCs w:val="28"/>
        </w:rPr>
        <w:t xml:space="preserve">Согласно </w:t>
      </w:r>
      <w:hyperlink r:id="rId7" w:history="1">
        <w:r w:rsidRPr="002B2BE0">
          <w:rPr>
            <w:sz w:val="28"/>
            <w:szCs w:val="28"/>
          </w:rPr>
          <w:t>пункту 7</w:t>
        </w:r>
      </w:hyperlink>
      <w:r w:rsidRPr="002B2BE0">
        <w:rPr>
          <w:sz w:val="28"/>
          <w:szCs w:val="28"/>
        </w:rPr>
        <w:t xml:space="preserve"> </w:t>
      </w:r>
      <w:r>
        <w:rPr>
          <w:sz w:val="28"/>
          <w:szCs w:val="28"/>
        </w:rPr>
        <w:t>Поряд</w:t>
      </w:r>
      <w:r w:rsidRPr="002B2BE0">
        <w:rPr>
          <w:sz w:val="28"/>
          <w:szCs w:val="28"/>
        </w:rPr>
        <w:t>к</w:t>
      </w:r>
      <w:r>
        <w:rPr>
          <w:sz w:val="28"/>
          <w:szCs w:val="28"/>
        </w:rPr>
        <w:t>а</w:t>
      </w:r>
      <w:r w:rsidRPr="002B2BE0">
        <w:rPr>
          <w:sz w:val="28"/>
          <w:szCs w:val="28"/>
        </w:rPr>
        <w:t xml:space="preserve">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об особенностях включения информации в такие планы-графики и о требованиях к форме планов-графиков закупок</w:t>
      </w:r>
      <w:r>
        <w:rPr>
          <w:sz w:val="28"/>
          <w:szCs w:val="28"/>
        </w:rPr>
        <w:t>,</w:t>
      </w:r>
      <w:r w:rsidRPr="002B2BE0">
        <w:rPr>
          <w:sz w:val="28"/>
          <w:szCs w:val="28"/>
        </w:rPr>
        <w:t xml:space="preserve"> утвержденно</w:t>
      </w:r>
      <w:r>
        <w:rPr>
          <w:sz w:val="28"/>
          <w:szCs w:val="28"/>
        </w:rPr>
        <w:t>го</w:t>
      </w:r>
      <w:r w:rsidRPr="002B2BE0">
        <w:rPr>
          <w:sz w:val="28"/>
          <w:szCs w:val="28"/>
        </w:rPr>
        <w:t xml:space="preserve"> постановлением Правительства Российской Федерации от 30.09.2019 года </w:t>
      </w:r>
      <w:r>
        <w:rPr>
          <w:sz w:val="28"/>
          <w:szCs w:val="28"/>
        </w:rPr>
        <w:t>№</w:t>
      </w:r>
      <w:r w:rsidRPr="002B2BE0">
        <w:rPr>
          <w:sz w:val="28"/>
          <w:szCs w:val="28"/>
        </w:rPr>
        <w:t>1279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2B2BE0" w:rsidRPr="002B2BE0" w:rsidRDefault="002B2BE0" w:rsidP="002B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2B2BE0">
        <w:rPr>
          <w:sz w:val="28"/>
          <w:szCs w:val="28"/>
        </w:rPr>
        <w:t>Таким образом, план-график должен содержать информацию обо всех закупках заказчика,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2B2BE0" w:rsidRPr="002B2BE0" w:rsidRDefault="002B2BE0" w:rsidP="002B2BE0">
      <w:pPr>
        <w:ind w:firstLine="709"/>
        <w:jc w:val="both"/>
        <w:rPr>
          <w:sz w:val="28"/>
          <w:szCs w:val="28"/>
        </w:rPr>
      </w:pPr>
      <w:r w:rsidRPr="002B2BE0">
        <w:rPr>
          <w:sz w:val="28"/>
          <w:szCs w:val="28"/>
        </w:rPr>
        <w:t xml:space="preserve">Бюджетное учреждение использует бюджетные средства в соответствии с утвержденным планом финансово-хозяйственной деятельности, в котором отражены все доходы бюджетного учреждения, получаемые как в виде бюджетных средств, так и от предпринимательской и иной деятельности. </w:t>
      </w:r>
    </w:p>
    <w:p w:rsidR="002B2BE0" w:rsidRPr="002B2BE0" w:rsidRDefault="002B2BE0" w:rsidP="002B2BE0">
      <w:pPr>
        <w:ind w:firstLine="709"/>
        <w:jc w:val="both"/>
        <w:rPr>
          <w:sz w:val="28"/>
          <w:szCs w:val="28"/>
        </w:rPr>
      </w:pPr>
      <w:r w:rsidRPr="002B2BE0">
        <w:rPr>
          <w:sz w:val="28"/>
          <w:szCs w:val="28"/>
        </w:rPr>
        <w:t>Планом ФХД Учреждения на 2024 год и плановый период 2025 и 2026 годов предусмотрены расходы на закупку товаров, работ, услуг всего: в первоначальной версии плана (от 29.12.2023 года) – 9 588,7 тыс. рублей (строка 2640 плана ФХД), в том числе за счет средств субсидии на иные цели - 7 781,6 тыс. рублей (совокупный годовой доход в плане-графике в первоначальной версии утвержден в объеме 1,0 тыс. рублей).</w:t>
      </w:r>
    </w:p>
    <w:p w:rsidR="002B2BE0" w:rsidRPr="002B2BE0" w:rsidRDefault="002B2BE0" w:rsidP="002B2BE0">
      <w:pPr>
        <w:ind w:firstLine="709"/>
        <w:jc w:val="both"/>
        <w:rPr>
          <w:sz w:val="28"/>
          <w:szCs w:val="28"/>
        </w:rPr>
      </w:pPr>
      <w:r w:rsidRPr="002B2BE0">
        <w:rPr>
          <w:sz w:val="28"/>
          <w:szCs w:val="28"/>
        </w:rPr>
        <w:t>Планом финансово-хозяйственной деятельности Учреждения на 2024 год и плановый период 2025 и 2026 годов, утвержденным 29.12.2023 года, предусмотрены расходы на прочую закупку товаров, работ и услуг (строка 2640) в объеме 7 781,6 тыс. рублей.</w:t>
      </w:r>
    </w:p>
    <w:p w:rsidR="002B2BE0" w:rsidRPr="002B2BE0" w:rsidRDefault="002B2BE0" w:rsidP="002B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2B2BE0">
        <w:rPr>
          <w:i/>
          <w:sz w:val="28"/>
          <w:szCs w:val="28"/>
        </w:rPr>
        <w:t xml:space="preserve">В нарушение </w:t>
      </w:r>
      <w:hyperlink r:id="rId8" w:history="1">
        <w:r w:rsidRPr="002B2BE0">
          <w:rPr>
            <w:i/>
            <w:sz w:val="28"/>
            <w:szCs w:val="28"/>
          </w:rPr>
          <w:t>пункта 3 части 2 статьи 16</w:t>
        </w:r>
      </w:hyperlink>
      <w:r w:rsidRPr="002B2BE0">
        <w:rPr>
          <w:i/>
          <w:sz w:val="28"/>
          <w:szCs w:val="28"/>
        </w:rPr>
        <w:t xml:space="preserve"> Закона о контрактной системе, </w:t>
      </w:r>
      <w:hyperlink r:id="rId9" w:history="1">
        <w:r w:rsidRPr="002B2BE0">
          <w:rPr>
            <w:i/>
            <w:sz w:val="28"/>
            <w:szCs w:val="28"/>
          </w:rPr>
          <w:t>подпункта "д" пункта 16</w:t>
        </w:r>
      </w:hyperlink>
      <w:r w:rsidRPr="002B2BE0">
        <w:rPr>
          <w:i/>
          <w:sz w:val="28"/>
          <w:szCs w:val="28"/>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w:t>
      </w:r>
      <w:r w:rsidRPr="002B2BE0">
        <w:rPr>
          <w:i/>
          <w:sz w:val="28"/>
          <w:szCs w:val="28"/>
        </w:rPr>
        <w:lastRenderedPageBreak/>
        <w:t>30 сентября 2019 г. N 1279, заказчиком в план-график на 2024 год (в первоначальной версии) не включены данные об объеме финансового обеспечения, в том числе планируемые платежи.</w:t>
      </w:r>
    </w:p>
    <w:p w:rsidR="002B2BE0" w:rsidRPr="002B2BE0" w:rsidRDefault="002B2BE0" w:rsidP="002B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B2BE0">
        <w:rPr>
          <w:sz w:val="28"/>
          <w:szCs w:val="28"/>
        </w:rPr>
        <w:t>Аналогичные нарушения установлены при формировании плана-графика на 2025 год. Планом ФХД Учреждения на 2025 год и плановый период 2026 и 2027 годов предусмотрены расходы на закупку товаров, работ, услуг всего: в первоначальной версии плана (от 26.12.2024 года) -  8 719,5 тыс. рублей (совокупный годовой доход в плане-графике утвержден в объеме 435,1 тыс. рублей).</w:t>
      </w:r>
    </w:p>
    <w:p w:rsidR="002B2BE0" w:rsidRPr="002B2BE0" w:rsidRDefault="002B2BE0" w:rsidP="002B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2B2BE0">
        <w:rPr>
          <w:bCs/>
          <w:i/>
          <w:sz w:val="28"/>
          <w:szCs w:val="28"/>
        </w:rPr>
        <w:t xml:space="preserve">Указанные нарушения </w:t>
      </w:r>
      <w:r w:rsidRPr="002B2BE0">
        <w:rPr>
          <w:i/>
          <w:sz w:val="28"/>
          <w:szCs w:val="28"/>
        </w:rPr>
        <w:t>свидетельствуют о формальном подходе и отсутствии контроля  при формировании и размещении показателей плана-графика закупок Учреждения.</w:t>
      </w:r>
    </w:p>
    <w:p w:rsidR="002B2BE0" w:rsidRPr="002B2BE0" w:rsidRDefault="002B2BE0" w:rsidP="002B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2B2BE0">
        <w:rPr>
          <w:i/>
          <w:sz w:val="28"/>
          <w:szCs w:val="28"/>
        </w:rPr>
        <w:t>При этом,</w:t>
      </w:r>
      <w:r w:rsidRPr="002B2BE0">
        <w:rPr>
          <w:rFonts w:ascii="Calibri" w:eastAsia="Calibri" w:hAnsi="Calibri"/>
          <w:sz w:val="28"/>
          <w:szCs w:val="28"/>
          <w:lang w:eastAsia="en-US"/>
        </w:rPr>
        <w:t xml:space="preserve"> п</w:t>
      </w:r>
      <w:r w:rsidRPr="002B2BE0">
        <w:rPr>
          <w:i/>
          <w:sz w:val="28"/>
          <w:szCs w:val="28"/>
        </w:rPr>
        <w:t>ервоначальная версия плана-графика закупок на 2025, год  (УН  в ЕИС  № 202503483001452001)  в нарушение статьи 16 Федерального закона  №44-ФЗ, пункта 12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РФ от 30.09.2019 N 1279 утверждена 29.01.2025 года</w:t>
      </w:r>
      <w:r>
        <w:rPr>
          <w:i/>
          <w:sz w:val="28"/>
          <w:szCs w:val="28"/>
        </w:rPr>
        <w:t xml:space="preserve"> (</w:t>
      </w:r>
      <w:r w:rsidRPr="002B2BE0">
        <w:rPr>
          <w:i/>
          <w:sz w:val="28"/>
          <w:szCs w:val="28"/>
        </w:rPr>
        <w:t>срок утверждения истек 17.01.2025 года</w:t>
      </w:r>
      <w:r>
        <w:rPr>
          <w:i/>
          <w:sz w:val="28"/>
          <w:szCs w:val="28"/>
        </w:rPr>
        <w:t>)</w:t>
      </w:r>
      <w:r w:rsidRPr="002B2BE0">
        <w:rPr>
          <w:i/>
          <w:sz w:val="28"/>
          <w:szCs w:val="28"/>
        </w:rPr>
        <w:t>.</w:t>
      </w:r>
    </w:p>
    <w:p w:rsidR="002B2BE0" w:rsidRPr="002B2BE0" w:rsidRDefault="002B2BE0" w:rsidP="002B2BE0">
      <w:pPr>
        <w:keepNext/>
        <w:keepLines/>
        <w:ind w:firstLine="709"/>
        <w:jc w:val="both"/>
        <w:rPr>
          <w:i/>
          <w:sz w:val="28"/>
          <w:szCs w:val="28"/>
        </w:rPr>
      </w:pPr>
      <w:r w:rsidRPr="002B2BE0">
        <w:rPr>
          <w:i/>
          <w:sz w:val="28"/>
          <w:szCs w:val="28"/>
        </w:rPr>
        <w:t>Нарушение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 порядка формирования, утверждения планов-графиков закупок товаров, работ, услуг для обеспечения государственных и муниципальных нужд образует состав правонарушения, за которое предусмотрена ответственность в соответствии с частью 1 статьи 7.30.1 КоАП РФ.</w:t>
      </w:r>
    </w:p>
    <w:p w:rsidR="002B2BE0" w:rsidRPr="002B2BE0" w:rsidRDefault="002B2BE0" w:rsidP="002B2BE0">
      <w:pPr>
        <w:widowControl w:val="0"/>
        <w:ind w:firstLine="709"/>
        <w:jc w:val="both"/>
        <w:rPr>
          <w:sz w:val="28"/>
          <w:szCs w:val="28"/>
          <w:lang w:eastAsia="en-US"/>
        </w:rPr>
      </w:pPr>
      <w:r w:rsidRPr="002B2BE0">
        <w:rPr>
          <w:sz w:val="28"/>
          <w:szCs w:val="28"/>
          <w:lang w:eastAsia="en-US"/>
        </w:rPr>
        <w:t>Содержание планов-графиков закупок соответствует требованиям, установленным статьёй 16 Федерального закона №44-ФЗ, а также Постановлению Правительства РФ от 30.09.2019 года N 1279.</w:t>
      </w:r>
    </w:p>
    <w:p w:rsidR="002B2BE0" w:rsidRPr="002B2BE0" w:rsidRDefault="002B2BE0" w:rsidP="002B2BE0">
      <w:pPr>
        <w:ind w:firstLine="709"/>
        <w:jc w:val="both"/>
        <w:rPr>
          <w:sz w:val="28"/>
          <w:szCs w:val="28"/>
          <w:lang w:eastAsia="zh-CN"/>
        </w:rPr>
      </w:pPr>
      <w:r w:rsidRPr="002B2BE0">
        <w:rPr>
          <w:sz w:val="28"/>
          <w:szCs w:val="28"/>
          <w:lang w:eastAsia="zh-CN"/>
        </w:rPr>
        <w:t xml:space="preserve">Всего за 2024 год </w:t>
      </w:r>
      <w:r w:rsidRPr="002B2BE0">
        <w:rPr>
          <w:sz w:val="28"/>
          <w:szCs w:val="28"/>
          <w:lang w:eastAsia="en-US"/>
        </w:rPr>
        <w:t xml:space="preserve">Учреждением </w:t>
      </w:r>
      <w:r w:rsidRPr="002B2BE0">
        <w:rPr>
          <w:sz w:val="28"/>
          <w:szCs w:val="28"/>
          <w:lang w:eastAsia="zh-CN"/>
        </w:rPr>
        <w:t>заключено 38 контрактов (договоров) на общую сумму 15 423,8 тыс. рублей. Информация о количестве, сумме и способах определения поставщика заключенных контрактов в проверяемом периоде  представлена в таблице (в рублях):</w:t>
      </w:r>
    </w:p>
    <w:p w:rsidR="002B2BE0" w:rsidRPr="002B2BE0" w:rsidRDefault="002B2BE0" w:rsidP="002B2BE0">
      <w:pPr>
        <w:ind w:firstLine="709"/>
        <w:jc w:val="both"/>
        <w:rPr>
          <w:lang w:eastAsia="zh-CN"/>
        </w:rPr>
      </w:pPr>
      <w:r w:rsidRPr="002B2BE0">
        <w:rPr>
          <w:lang w:eastAsia="zh-CN"/>
        </w:rPr>
        <w:t xml:space="preserve"> </w:t>
      </w:r>
    </w:p>
    <w:tbl>
      <w:tblPr>
        <w:tblW w:w="9498" w:type="dxa"/>
        <w:tblInd w:w="-147" w:type="dxa"/>
        <w:tblLook w:val="04A0" w:firstRow="1" w:lastRow="0" w:firstColumn="1" w:lastColumn="0" w:noHBand="0" w:noVBand="1"/>
      </w:tblPr>
      <w:tblGrid>
        <w:gridCol w:w="6946"/>
        <w:gridCol w:w="1286"/>
        <w:gridCol w:w="1266"/>
      </w:tblGrid>
      <w:tr w:rsidR="002B2BE0" w:rsidRPr="002B2BE0" w:rsidTr="00971736">
        <w:trPr>
          <w:trHeight w:val="443"/>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BE0" w:rsidRPr="002B2BE0" w:rsidRDefault="002B2BE0" w:rsidP="002B2BE0">
            <w:pPr>
              <w:jc w:val="center"/>
              <w:rPr>
                <w:b/>
                <w:sz w:val="20"/>
                <w:szCs w:val="20"/>
              </w:rPr>
            </w:pPr>
            <w:r w:rsidRPr="002B2BE0">
              <w:rPr>
                <w:b/>
                <w:sz w:val="20"/>
                <w:szCs w:val="20"/>
              </w:rPr>
              <w:t>Основание закупки</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2B2BE0" w:rsidRPr="002B2BE0" w:rsidRDefault="002B2BE0" w:rsidP="002B2BE0">
            <w:pPr>
              <w:jc w:val="center"/>
              <w:rPr>
                <w:b/>
                <w:sz w:val="20"/>
                <w:szCs w:val="20"/>
              </w:rPr>
            </w:pPr>
            <w:r w:rsidRPr="002B2BE0">
              <w:rPr>
                <w:b/>
                <w:sz w:val="20"/>
                <w:szCs w:val="20"/>
              </w:rPr>
              <w:t>Количество</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2B2BE0" w:rsidRPr="002B2BE0" w:rsidRDefault="002B2BE0" w:rsidP="002B2BE0">
            <w:pPr>
              <w:jc w:val="center"/>
              <w:rPr>
                <w:b/>
                <w:sz w:val="20"/>
                <w:szCs w:val="20"/>
              </w:rPr>
            </w:pPr>
            <w:r w:rsidRPr="002B2BE0">
              <w:rPr>
                <w:b/>
                <w:sz w:val="20"/>
                <w:szCs w:val="20"/>
              </w:rPr>
              <w:t>Сумма</w:t>
            </w:r>
          </w:p>
        </w:tc>
      </w:tr>
      <w:tr w:rsidR="002B2BE0" w:rsidRPr="002B2BE0" w:rsidTr="00971736">
        <w:trPr>
          <w:trHeight w:val="25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B2BE0" w:rsidRPr="002B2BE0" w:rsidRDefault="002B2BE0" w:rsidP="002B2BE0">
            <w:pPr>
              <w:jc w:val="both"/>
              <w:rPr>
                <w:b/>
                <w:sz w:val="20"/>
                <w:szCs w:val="20"/>
              </w:rPr>
            </w:pPr>
            <w:r w:rsidRPr="002B2BE0">
              <w:rPr>
                <w:b/>
                <w:sz w:val="20"/>
                <w:szCs w:val="20"/>
              </w:rPr>
              <w:t>Заключено в 2024 году всего, в том числе</w:t>
            </w:r>
          </w:p>
        </w:tc>
        <w:tc>
          <w:tcPr>
            <w:tcW w:w="128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b/>
                <w:sz w:val="20"/>
                <w:szCs w:val="20"/>
              </w:rPr>
            </w:pPr>
            <w:r w:rsidRPr="002B2BE0">
              <w:rPr>
                <w:b/>
                <w:sz w:val="20"/>
                <w:szCs w:val="20"/>
              </w:rPr>
              <w:t>38</w:t>
            </w:r>
          </w:p>
        </w:tc>
        <w:tc>
          <w:tcPr>
            <w:tcW w:w="126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b/>
                <w:sz w:val="20"/>
                <w:szCs w:val="20"/>
              </w:rPr>
            </w:pPr>
            <w:r w:rsidRPr="002B2BE0">
              <w:rPr>
                <w:b/>
                <w:sz w:val="20"/>
                <w:szCs w:val="20"/>
              </w:rPr>
              <w:t>15 423,8</w:t>
            </w:r>
          </w:p>
        </w:tc>
      </w:tr>
      <w:tr w:rsidR="002B2BE0" w:rsidRPr="002B2BE0" w:rsidTr="00971736">
        <w:trPr>
          <w:trHeight w:val="25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B2BE0" w:rsidRPr="002B2BE0" w:rsidRDefault="002B2BE0" w:rsidP="002B2BE0">
            <w:pPr>
              <w:jc w:val="both"/>
              <w:rPr>
                <w:sz w:val="20"/>
                <w:szCs w:val="20"/>
              </w:rPr>
            </w:pPr>
            <w:r w:rsidRPr="002B2BE0">
              <w:rPr>
                <w:sz w:val="20"/>
                <w:szCs w:val="20"/>
              </w:rPr>
              <w:t>п. 4 ч. 1 ст. 93 - закупка объемом до 600 тысяч рублей</w:t>
            </w:r>
          </w:p>
        </w:tc>
        <w:tc>
          <w:tcPr>
            <w:tcW w:w="128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sz w:val="20"/>
                <w:szCs w:val="20"/>
              </w:rPr>
            </w:pPr>
            <w:r w:rsidRPr="002B2BE0">
              <w:rPr>
                <w:sz w:val="20"/>
                <w:szCs w:val="20"/>
              </w:rPr>
              <w:t>17</w:t>
            </w:r>
          </w:p>
        </w:tc>
        <w:tc>
          <w:tcPr>
            <w:tcW w:w="126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sz w:val="20"/>
                <w:szCs w:val="20"/>
              </w:rPr>
            </w:pPr>
            <w:r w:rsidRPr="002B2BE0">
              <w:rPr>
                <w:sz w:val="20"/>
                <w:szCs w:val="20"/>
              </w:rPr>
              <w:t>1 429,1</w:t>
            </w:r>
          </w:p>
        </w:tc>
      </w:tr>
      <w:tr w:rsidR="002B2BE0" w:rsidRPr="002B2BE0" w:rsidTr="00971736">
        <w:trPr>
          <w:trHeight w:val="25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B2BE0" w:rsidRPr="002B2BE0" w:rsidRDefault="002B2BE0" w:rsidP="002B2BE0">
            <w:pPr>
              <w:jc w:val="both"/>
              <w:rPr>
                <w:sz w:val="20"/>
                <w:szCs w:val="20"/>
              </w:rPr>
            </w:pPr>
            <w:r w:rsidRPr="002B2BE0">
              <w:rPr>
                <w:sz w:val="20"/>
                <w:szCs w:val="20"/>
              </w:rPr>
              <w:t>п. 5 ч. 1 ст. 93 - закупка объемом до 600 тысяч рублей</w:t>
            </w:r>
          </w:p>
        </w:tc>
        <w:tc>
          <w:tcPr>
            <w:tcW w:w="128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sz w:val="20"/>
                <w:szCs w:val="20"/>
              </w:rPr>
            </w:pPr>
            <w:r w:rsidRPr="002B2BE0">
              <w:rPr>
                <w:sz w:val="20"/>
                <w:szCs w:val="20"/>
              </w:rPr>
              <w:t xml:space="preserve">12 </w:t>
            </w:r>
          </w:p>
        </w:tc>
        <w:tc>
          <w:tcPr>
            <w:tcW w:w="126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sz w:val="20"/>
                <w:szCs w:val="20"/>
              </w:rPr>
            </w:pPr>
            <w:r w:rsidRPr="002B2BE0">
              <w:rPr>
                <w:sz w:val="20"/>
                <w:szCs w:val="20"/>
              </w:rPr>
              <w:t>1 164,6</w:t>
            </w:r>
          </w:p>
        </w:tc>
      </w:tr>
      <w:tr w:rsidR="002B2BE0" w:rsidRPr="002B2BE0" w:rsidTr="00971736">
        <w:trPr>
          <w:trHeight w:val="25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B2BE0" w:rsidRPr="002B2BE0" w:rsidRDefault="002B2BE0" w:rsidP="002B2BE0">
            <w:pPr>
              <w:jc w:val="both"/>
              <w:rPr>
                <w:sz w:val="20"/>
                <w:szCs w:val="20"/>
              </w:rPr>
            </w:pPr>
            <w:r w:rsidRPr="002B2BE0">
              <w:rPr>
                <w:sz w:val="20"/>
                <w:szCs w:val="20"/>
              </w:rPr>
              <w:t xml:space="preserve">п. 8 ч. 1 ст. 93 - услуги по водоснабжению, водоотведению, теплоснабжению, обращению с твердыми коммунальными отходами, газоснабжению (за </w:t>
            </w:r>
            <w:r w:rsidRPr="002B2BE0">
              <w:rPr>
                <w:sz w:val="20"/>
                <w:szCs w:val="20"/>
              </w:rPr>
              <w:lastRenderedPageBreak/>
              <w:t>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tc>
        <w:tc>
          <w:tcPr>
            <w:tcW w:w="128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sz w:val="20"/>
                <w:szCs w:val="20"/>
              </w:rPr>
            </w:pPr>
            <w:r w:rsidRPr="002B2BE0">
              <w:rPr>
                <w:sz w:val="20"/>
                <w:szCs w:val="20"/>
              </w:rPr>
              <w:lastRenderedPageBreak/>
              <w:t>1</w:t>
            </w:r>
          </w:p>
        </w:tc>
        <w:tc>
          <w:tcPr>
            <w:tcW w:w="126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sz w:val="20"/>
                <w:szCs w:val="20"/>
              </w:rPr>
            </w:pPr>
            <w:r w:rsidRPr="002B2BE0">
              <w:rPr>
                <w:sz w:val="20"/>
                <w:szCs w:val="20"/>
              </w:rPr>
              <w:t>90,0</w:t>
            </w:r>
          </w:p>
        </w:tc>
      </w:tr>
      <w:tr w:rsidR="002B2BE0" w:rsidRPr="002B2BE0" w:rsidTr="00971736">
        <w:trPr>
          <w:trHeight w:val="25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B2BE0" w:rsidRPr="002B2BE0" w:rsidRDefault="002B2BE0" w:rsidP="002B2BE0">
            <w:pPr>
              <w:jc w:val="both"/>
              <w:rPr>
                <w:sz w:val="20"/>
                <w:szCs w:val="20"/>
              </w:rPr>
            </w:pPr>
            <w:r w:rsidRPr="002B2BE0">
              <w:rPr>
                <w:sz w:val="20"/>
                <w:szCs w:val="20"/>
              </w:rPr>
              <w:lastRenderedPageBreak/>
              <w:t>п. 29 ч.1 ст. 93 - заключение договора энергоснабжения или договора купли-продажи электрической энергии с гарантирующим поставщиком электрической энергии</w:t>
            </w:r>
          </w:p>
        </w:tc>
        <w:tc>
          <w:tcPr>
            <w:tcW w:w="128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sz w:val="20"/>
                <w:szCs w:val="20"/>
              </w:rPr>
            </w:pPr>
            <w:r w:rsidRPr="002B2BE0">
              <w:rPr>
                <w:sz w:val="20"/>
                <w:szCs w:val="20"/>
              </w:rPr>
              <w:t>1</w:t>
            </w:r>
          </w:p>
        </w:tc>
        <w:tc>
          <w:tcPr>
            <w:tcW w:w="126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sz w:val="20"/>
                <w:szCs w:val="20"/>
              </w:rPr>
            </w:pPr>
            <w:r w:rsidRPr="002B2BE0">
              <w:rPr>
                <w:sz w:val="20"/>
                <w:szCs w:val="20"/>
              </w:rPr>
              <w:t>435,1</w:t>
            </w:r>
          </w:p>
        </w:tc>
      </w:tr>
      <w:tr w:rsidR="002B2BE0" w:rsidRPr="002B2BE0" w:rsidTr="00971736">
        <w:trPr>
          <w:trHeight w:val="25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B2BE0" w:rsidRPr="002B2BE0" w:rsidRDefault="002B2BE0" w:rsidP="002B2BE0">
            <w:pPr>
              <w:jc w:val="both"/>
              <w:rPr>
                <w:sz w:val="20"/>
                <w:szCs w:val="20"/>
              </w:rPr>
            </w:pPr>
            <w:r w:rsidRPr="002B2BE0">
              <w:rPr>
                <w:sz w:val="20"/>
                <w:szCs w:val="20"/>
              </w:rPr>
              <w:t>Электронный аукцион, из них</w:t>
            </w:r>
          </w:p>
        </w:tc>
        <w:tc>
          <w:tcPr>
            <w:tcW w:w="128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sz w:val="20"/>
                <w:szCs w:val="20"/>
              </w:rPr>
            </w:pPr>
            <w:r w:rsidRPr="002B2BE0">
              <w:rPr>
                <w:sz w:val="20"/>
                <w:szCs w:val="20"/>
              </w:rPr>
              <w:t>6</w:t>
            </w:r>
          </w:p>
        </w:tc>
        <w:tc>
          <w:tcPr>
            <w:tcW w:w="126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sz w:val="20"/>
                <w:szCs w:val="20"/>
              </w:rPr>
            </w:pPr>
            <w:r w:rsidRPr="002B2BE0">
              <w:rPr>
                <w:sz w:val="20"/>
                <w:szCs w:val="20"/>
              </w:rPr>
              <w:t>12 293,6</w:t>
            </w:r>
          </w:p>
        </w:tc>
      </w:tr>
      <w:tr w:rsidR="002B2BE0" w:rsidRPr="002B2BE0" w:rsidTr="00971736">
        <w:trPr>
          <w:trHeight w:val="25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B2BE0" w:rsidRPr="002B2BE0" w:rsidRDefault="002B2BE0" w:rsidP="002B2BE0">
            <w:pPr>
              <w:jc w:val="both"/>
              <w:rPr>
                <w:sz w:val="20"/>
                <w:szCs w:val="20"/>
              </w:rPr>
            </w:pPr>
            <w:r w:rsidRPr="002B2BE0">
              <w:rPr>
                <w:sz w:val="20"/>
                <w:szCs w:val="20"/>
              </w:rPr>
              <w:t>Закупка вследствие признания несостоявшимся электронного аукциона по основаниям, представленным в пункте 6 части 2, части 5, части 7 статьи 52 Федерального закона</w:t>
            </w:r>
          </w:p>
        </w:tc>
        <w:tc>
          <w:tcPr>
            <w:tcW w:w="128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sz w:val="20"/>
                <w:szCs w:val="20"/>
              </w:rPr>
            </w:pPr>
            <w:r w:rsidRPr="002B2BE0">
              <w:rPr>
                <w:sz w:val="20"/>
                <w:szCs w:val="20"/>
              </w:rPr>
              <w:t>3</w:t>
            </w:r>
          </w:p>
        </w:tc>
        <w:tc>
          <w:tcPr>
            <w:tcW w:w="126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sz w:val="20"/>
                <w:szCs w:val="20"/>
              </w:rPr>
            </w:pPr>
            <w:r w:rsidRPr="002B2BE0">
              <w:rPr>
                <w:sz w:val="20"/>
                <w:szCs w:val="20"/>
              </w:rPr>
              <w:t>7 405,2</w:t>
            </w:r>
          </w:p>
        </w:tc>
      </w:tr>
      <w:tr w:rsidR="002B2BE0" w:rsidRPr="002B2BE0" w:rsidTr="00971736">
        <w:trPr>
          <w:trHeight w:val="25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BE0" w:rsidRPr="002B2BE0" w:rsidRDefault="002B2BE0" w:rsidP="002B2BE0">
            <w:pPr>
              <w:jc w:val="both"/>
              <w:rPr>
                <w:b/>
                <w:i/>
                <w:sz w:val="20"/>
                <w:szCs w:val="20"/>
              </w:rPr>
            </w:pPr>
            <w:r w:rsidRPr="002B2BE0">
              <w:rPr>
                <w:b/>
                <w:i/>
                <w:sz w:val="20"/>
                <w:szCs w:val="20"/>
              </w:rPr>
              <w:t>Из заключенных контрактов расторгнуто,</w:t>
            </w:r>
          </w:p>
        </w:tc>
        <w:tc>
          <w:tcPr>
            <w:tcW w:w="128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b/>
                <w:i/>
                <w:sz w:val="20"/>
                <w:szCs w:val="20"/>
              </w:rPr>
            </w:pPr>
            <w:r w:rsidRPr="002B2BE0">
              <w:rPr>
                <w:b/>
                <w:i/>
                <w:sz w:val="20"/>
                <w:szCs w:val="20"/>
              </w:rPr>
              <w:t>7</w:t>
            </w:r>
          </w:p>
        </w:tc>
        <w:tc>
          <w:tcPr>
            <w:tcW w:w="126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b/>
                <w:i/>
                <w:sz w:val="20"/>
                <w:szCs w:val="20"/>
              </w:rPr>
            </w:pPr>
            <w:r w:rsidRPr="002B2BE0">
              <w:rPr>
                <w:b/>
                <w:i/>
                <w:sz w:val="20"/>
                <w:szCs w:val="20"/>
              </w:rPr>
              <w:t>6 647,7</w:t>
            </w:r>
          </w:p>
        </w:tc>
      </w:tr>
      <w:tr w:rsidR="002B2BE0" w:rsidRPr="002B2BE0" w:rsidTr="00971736">
        <w:trPr>
          <w:trHeight w:val="25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B2BE0" w:rsidRPr="002B2BE0" w:rsidRDefault="002B2BE0" w:rsidP="002B2BE0">
            <w:pPr>
              <w:jc w:val="both"/>
              <w:rPr>
                <w:i/>
                <w:sz w:val="20"/>
                <w:szCs w:val="20"/>
              </w:rPr>
            </w:pPr>
            <w:r w:rsidRPr="002B2BE0">
              <w:rPr>
                <w:i/>
                <w:sz w:val="20"/>
                <w:szCs w:val="20"/>
              </w:rPr>
              <w:t>- в том числе заключенных по результатам проведенного электронного аукциона</w:t>
            </w:r>
          </w:p>
        </w:tc>
        <w:tc>
          <w:tcPr>
            <w:tcW w:w="128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i/>
                <w:sz w:val="20"/>
                <w:szCs w:val="20"/>
              </w:rPr>
            </w:pPr>
            <w:r w:rsidRPr="002B2BE0">
              <w:rPr>
                <w:i/>
                <w:sz w:val="20"/>
                <w:szCs w:val="20"/>
              </w:rPr>
              <w:t>2</w:t>
            </w:r>
          </w:p>
        </w:tc>
        <w:tc>
          <w:tcPr>
            <w:tcW w:w="1266" w:type="dxa"/>
            <w:tcBorders>
              <w:top w:val="single" w:sz="4" w:space="0" w:color="auto"/>
              <w:left w:val="nil"/>
              <w:bottom w:val="single" w:sz="4" w:space="0" w:color="auto"/>
              <w:right w:val="single" w:sz="4" w:space="0" w:color="auto"/>
            </w:tcBorders>
            <w:shd w:val="clear" w:color="auto" w:fill="auto"/>
            <w:vAlign w:val="center"/>
          </w:tcPr>
          <w:p w:rsidR="002B2BE0" w:rsidRPr="002B2BE0" w:rsidRDefault="002B2BE0" w:rsidP="002B2BE0">
            <w:pPr>
              <w:jc w:val="center"/>
              <w:rPr>
                <w:i/>
                <w:sz w:val="20"/>
                <w:szCs w:val="20"/>
              </w:rPr>
            </w:pPr>
            <w:r w:rsidRPr="002B2BE0">
              <w:rPr>
                <w:i/>
                <w:sz w:val="20"/>
                <w:szCs w:val="20"/>
              </w:rPr>
              <w:t>6 057,0</w:t>
            </w:r>
          </w:p>
        </w:tc>
      </w:tr>
    </w:tbl>
    <w:p w:rsidR="002B2BE0" w:rsidRPr="002B2BE0" w:rsidRDefault="002B2BE0" w:rsidP="002B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p>
    <w:p w:rsidR="002B2BE0" w:rsidRPr="002B2BE0" w:rsidRDefault="002B2BE0" w:rsidP="002B2BE0">
      <w:pPr>
        <w:widowControl w:val="0"/>
        <w:ind w:firstLine="709"/>
        <w:jc w:val="both"/>
        <w:rPr>
          <w:sz w:val="28"/>
          <w:szCs w:val="28"/>
          <w:lang w:eastAsia="en-US"/>
        </w:rPr>
      </w:pPr>
      <w:r w:rsidRPr="002B2BE0">
        <w:rPr>
          <w:sz w:val="28"/>
          <w:szCs w:val="28"/>
          <w:lang w:eastAsia="en-US"/>
        </w:rPr>
        <w:t>Неконкурентными способами проведены закупки, предусмотренные частью 1 статьи 93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2B2BE0" w:rsidRPr="002B2BE0" w:rsidRDefault="002B2BE0" w:rsidP="002B2BE0">
      <w:pPr>
        <w:widowControl w:val="0"/>
        <w:ind w:firstLine="709"/>
        <w:jc w:val="both"/>
        <w:rPr>
          <w:iCs/>
          <w:sz w:val="28"/>
          <w:szCs w:val="28"/>
          <w:lang w:eastAsia="en-US"/>
        </w:rPr>
      </w:pPr>
      <w:r w:rsidRPr="002B2BE0">
        <w:rPr>
          <w:iCs/>
          <w:sz w:val="28"/>
          <w:szCs w:val="28"/>
          <w:lang w:eastAsia="en-US"/>
        </w:rPr>
        <w:t xml:space="preserve">В 2024 году с единственным поставщиком осуществлено 35 закупок (92,1% от общего количества проведенных закупок) на сумму 10 535,4 тыс. рублей (68,3% от общей суммы закупок). </w:t>
      </w:r>
    </w:p>
    <w:p w:rsidR="002B2BE0" w:rsidRPr="002B2BE0" w:rsidRDefault="002B2BE0" w:rsidP="002B2BE0">
      <w:pPr>
        <w:widowControl w:val="0"/>
        <w:ind w:firstLine="709"/>
        <w:jc w:val="both"/>
        <w:rPr>
          <w:sz w:val="28"/>
          <w:szCs w:val="28"/>
          <w:lang w:eastAsia="en-US"/>
        </w:rPr>
      </w:pPr>
      <w:r w:rsidRPr="002B2BE0">
        <w:rPr>
          <w:sz w:val="28"/>
          <w:szCs w:val="28"/>
          <w:shd w:val="clear" w:color="auto" w:fill="FFFFFF"/>
          <w:lang w:eastAsia="en-US"/>
        </w:rPr>
        <w:t xml:space="preserve">Лимиты закупок, установленные </w:t>
      </w:r>
      <w:r w:rsidRPr="002B2BE0">
        <w:rPr>
          <w:sz w:val="28"/>
          <w:szCs w:val="28"/>
          <w:lang w:eastAsia="en-US"/>
        </w:rPr>
        <w:t>пунктами 4, 5 части 1 статьи 93 Федерального закона № 44-ФЗ в проверяемом периоде Учреждением не превышены.</w:t>
      </w:r>
    </w:p>
    <w:p w:rsidR="002B2BE0" w:rsidRPr="002B2BE0" w:rsidRDefault="002B2BE0" w:rsidP="002B2BE0">
      <w:pPr>
        <w:widowControl w:val="0"/>
        <w:ind w:firstLine="709"/>
        <w:jc w:val="both"/>
        <w:rPr>
          <w:sz w:val="28"/>
          <w:szCs w:val="28"/>
          <w:lang w:eastAsia="en-US"/>
        </w:rPr>
      </w:pPr>
      <w:r w:rsidRPr="002B2BE0">
        <w:rPr>
          <w:sz w:val="28"/>
          <w:szCs w:val="28"/>
          <w:lang w:eastAsia="en-US"/>
        </w:rPr>
        <w:t>В текущем периоде 2025 года муниципальные контракты заключались преимущественно с единственным поставщиком. Конкурентные процедуры не проводились.</w:t>
      </w:r>
    </w:p>
    <w:p w:rsidR="002B2BE0" w:rsidRPr="002B2BE0" w:rsidRDefault="002B2BE0" w:rsidP="002B2BE0">
      <w:pPr>
        <w:widowControl w:val="0"/>
        <w:ind w:firstLine="709"/>
        <w:jc w:val="both"/>
        <w:rPr>
          <w:color w:val="000000"/>
          <w:sz w:val="28"/>
          <w:szCs w:val="28"/>
        </w:rPr>
      </w:pPr>
      <w:r w:rsidRPr="002B2BE0">
        <w:rPr>
          <w:color w:val="000000"/>
          <w:sz w:val="28"/>
          <w:szCs w:val="28"/>
        </w:rPr>
        <w:t xml:space="preserve">Для оценки эффективности закупок для муниципальных нужд в 2024 году используются показатели абсолютной и относительной экономии </w:t>
      </w:r>
    </w:p>
    <w:p w:rsidR="002B2BE0" w:rsidRPr="002B2BE0" w:rsidRDefault="002B2BE0" w:rsidP="002B2BE0">
      <w:pPr>
        <w:widowControl w:val="0"/>
        <w:numPr>
          <w:ilvl w:val="0"/>
          <w:numId w:val="13"/>
        </w:numPr>
        <w:tabs>
          <w:tab w:val="left" w:pos="1177"/>
        </w:tabs>
        <w:ind w:firstLine="709"/>
        <w:jc w:val="both"/>
        <w:rPr>
          <w:color w:val="000000"/>
          <w:sz w:val="28"/>
          <w:szCs w:val="28"/>
        </w:rPr>
      </w:pPr>
      <w:r w:rsidRPr="002B2BE0">
        <w:rPr>
          <w:color w:val="000000"/>
          <w:sz w:val="28"/>
          <w:szCs w:val="28"/>
        </w:rPr>
        <w:t>абсолютный объём экономии - это разница между начальной (максимальной) ценой контрактов (НМЦК) и стоимостью заключённых контрактов (за вычетом стоимости незаключённых контрактов);</w:t>
      </w:r>
    </w:p>
    <w:p w:rsidR="002B2BE0" w:rsidRPr="002B2BE0" w:rsidRDefault="002B2BE0" w:rsidP="002B2BE0">
      <w:pPr>
        <w:widowControl w:val="0"/>
        <w:numPr>
          <w:ilvl w:val="0"/>
          <w:numId w:val="13"/>
        </w:numPr>
        <w:tabs>
          <w:tab w:val="left" w:pos="1018"/>
        </w:tabs>
        <w:ind w:firstLine="709"/>
        <w:jc w:val="both"/>
        <w:rPr>
          <w:color w:val="000000"/>
          <w:sz w:val="28"/>
          <w:szCs w:val="28"/>
        </w:rPr>
      </w:pPr>
      <w:r w:rsidRPr="002B2BE0">
        <w:rPr>
          <w:color w:val="000000"/>
          <w:sz w:val="28"/>
          <w:szCs w:val="28"/>
        </w:rPr>
        <w:t>относительный объём экономии (в %) - это отношение абсолютной экономии к общей сумме НМЦК.</w:t>
      </w:r>
    </w:p>
    <w:p w:rsidR="002B2BE0" w:rsidRPr="002B2BE0" w:rsidRDefault="002B2BE0" w:rsidP="002B2BE0">
      <w:pPr>
        <w:widowControl w:val="0"/>
        <w:spacing w:after="180"/>
        <w:ind w:firstLine="709"/>
        <w:jc w:val="both"/>
        <w:rPr>
          <w:color w:val="000000"/>
          <w:sz w:val="28"/>
          <w:szCs w:val="28"/>
        </w:rPr>
      </w:pPr>
      <w:r w:rsidRPr="002B2BE0">
        <w:rPr>
          <w:color w:val="000000"/>
          <w:sz w:val="28"/>
          <w:szCs w:val="28"/>
        </w:rPr>
        <w:t>Информация об экономии бюджетных средств в процессе осуществления конкурентных закупок представлена в таблице (в рублей), следующей ниже.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5"/>
        <w:gridCol w:w="994"/>
        <w:gridCol w:w="1210"/>
        <w:gridCol w:w="1418"/>
        <w:gridCol w:w="1677"/>
        <w:gridCol w:w="1725"/>
      </w:tblGrid>
      <w:tr w:rsidR="002B2BE0" w:rsidRPr="002B2BE0" w:rsidTr="00971736">
        <w:trPr>
          <w:trHeight w:hRule="exact" w:val="293"/>
          <w:jc w:val="center"/>
        </w:trPr>
        <w:tc>
          <w:tcPr>
            <w:tcW w:w="2785" w:type="dxa"/>
            <w:vMerge w:val="restart"/>
            <w:tcBorders>
              <w:top w:val="single" w:sz="4" w:space="0" w:color="auto"/>
              <w:left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74" w:lineRule="exact"/>
              <w:ind w:left="133"/>
              <w:jc w:val="center"/>
              <w:rPr>
                <w:color w:val="000000"/>
                <w:sz w:val="22"/>
                <w:szCs w:val="22"/>
              </w:rPr>
            </w:pPr>
            <w:r w:rsidRPr="002B2BE0">
              <w:rPr>
                <w:sz w:val="22"/>
                <w:szCs w:val="22"/>
                <w:shd w:val="clear" w:color="auto" w:fill="FFFFFF"/>
              </w:rPr>
              <w:t>Способ размещения закупок, период</w:t>
            </w:r>
          </w:p>
        </w:tc>
        <w:tc>
          <w:tcPr>
            <w:tcW w:w="994" w:type="dxa"/>
            <w:vMerge w:val="restart"/>
            <w:tcBorders>
              <w:top w:val="single" w:sz="4" w:space="0" w:color="auto"/>
              <w:left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74" w:lineRule="exact"/>
              <w:jc w:val="center"/>
              <w:rPr>
                <w:color w:val="000000"/>
                <w:sz w:val="22"/>
                <w:szCs w:val="22"/>
              </w:rPr>
            </w:pPr>
            <w:r w:rsidRPr="002B2BE0">
              <w:rPr>
                <w:sz w:val="22"/>
                <w:szCs w:val="22"/>
                <w:shd w:val="clear" w:color="auto" w:fill="FFFFFF"/>
              </w:rPr>
              <w:t>Кол-во заку</w:t>
            </w:r>
            <w:r w:rsidRPr="002B2BE0">
              <w:rPr>
                <w:sz w:val="22"/>
                <w:szCs w:val="22"/>
                <w:shd w:val="clear" w:color="auto" w:fill="FFFFFF"/>
              </w:rPr>
              <w:softHyphen/>
              <w:t>пок,ед.</w:t>
            </w:r>
          </w:p>
        </w:tc>
        <w:tc>
          <w:tcPr>
            <w:tcW w:w="1210" w:type="dxa"/>
            <w:vMerge w:val="restart"/>
            <w:tcBorders>
              <w:top w:val="single" w:sz="4" w:space="0" w:color="auto"/>
              <w:left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83" w:lineRule="exact"/>
              <w:jc w:val="center"/>
              <w:rPr>
                <w:color w:val="000000"/>
                <w:sz w:val="22"/>
                <w:szCs w:val="22"/>
              </w:rPr>
            </w:pPr>
            <w:r w:rsidRPr="002B2BE0">
              <w:rPr>
                <w:sz w:val="22"/>
                <w:szCs w:val="22"/>
                <w:shd w:val="clear" w:color="auto" w:fill="FFFFFF"/>
              </w:rPr>
              <w:t>НМЦК, в тыс.руб.</w:t>
            </w:r>
          </w:p>
        </w:tc>
        <w:tc>
          <w:tcPr>
            <w:tcW w:w="1418" w:type="dxa"/>
            <w:vMerge w:val="restart"/>
            <w:tcBorders>
              <w:top w:val="single" w:sz="4" w:space="0" w:color="auto"/>
              <w:left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74" w:lineRule="exact"/>
              <w:ind w:left="130" w:right="113"/>
              <w:jc w:val="center"/>
              <w:rPr>
                <w:color w:val="000000"/>
                <w:sz w:val="22"/>
                <w:szCs w:val="22"/>
              </w:rPr>
            </w:pPr>
            <w:r w:rsidRPr="002B2BE0">
              <w:rPr>
                <w:sz w:val="22"/>
                <w:szCs w:val="22"/>
                <w:shd w:val="clear" w:color="auto" w:fill="FFFFFF"/>
              </w:rPr>
              <w:t>Сумма по контрактам, в тыс. руб.</w:t>
            </w:r>
          </w:p>
        </w:tc>
        <w:tc>
          <w:tcPr>
            <w:tcW w:w="3402" w:type="dxa"/>
            <w:gridSpan w:val="2"/>
            <w:tcBorders>
              <w:top w:val="single" w:sz="4" w:space="0" w:color="auto"/>
              <w:left w:val="single" w:sz="4" w:space="0" w:color="auto"/>
              <w:right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ind w:left="151" w:right="10"/>
              <w:jc w:val="center"/>
              <w:rPr>
                <w:color w:val="000000"/>
                <w:sz w:val="22"/>
                <w:szCs w:val="22"/>
              </w:rPr>
            </w:pPr>
            <w:r w:rsidRPr="002B2BE0">
              <w:rPr>
                <w:sz w:val="22"/>
                <w:szCs w:val="22"/>
                <w:shd w:val="clear" w:color="auto" w:fill="FFFFFF"/>
              </w:rPr>
              <w:t>Экономия в результате закупки</w:t>
            </w:r>
          </w:p>
        </w:tc>
      </w:tr>
      <w:tr w:rsidR="002B2BE0" w:rsidRPr="002B2BE0" w:rsidTr="00971736">
        <w:trPr>
          <w:trHeight w:hRule="exact" w:val="992"/>
          <w:jc w:val="center"/>
        </w:trPr>
        <w:tc>
          <w:tcPr>
            <w:tcW w:w="2785" w:type="dxa"/>
            <w:vMerge/>
            <w:tcBorders>
              <w:left w:val="single" w:sz="4" w:space="0" w:color="auto"/>
            </w:tcBorders>
            <w:shd w:val="clear" w:color="auto" w:fill="FFFFFF"/>
          </w:tcPr>
          <w:p w:rsidR="002B2BE0" w:rsidRPr="002B2BE0" w:rsidRDefault="002B2BE0" w:rsidP="002B2BE0">
            <w:pPr>
              <w:framePr w:w="10085" w:wrap="notBeside" w:vAnchor="text" w:hAnchor="page" w:x="1150" w:y="124"/>
              <w:spacing w:line="360" w:lineRule="auto"/>
              <w:ind w:left="133" w:firstLine="709"/>
              <w:jc w:val="center"/>
              <w:rPr>
                <w:sz w:val="28"/>
                <w:szCs w:val="20"/>
              </w:rPr>
            </w:pPr>
          </w:p>
        </w:tc>
        <w:tc>
          <w:tcPr>
            <w:tcW w:w="994" w:type="dxa"/>
            <w:vMerge/>
            <w:tcBorders>
              <w:left w:val="single" w:sz="4" w:space="0" w:color="auto"/>
            </w:tcBorders>
            <w:shd w:val="clear" w:color="auto" w:fill="FFFFFF"/>
          </w:tcPr>
          <w:p w:rsidR="002B2BE0" w:rsidRPr="002B2BE0" w:rsidRDefault="002B2BE0" w:rsidP="002B2BE0">
            <w:pPr>
              <w:framePr w:w="10085" w:wrap="notBeside" w:vAnchor="text" w:hAnchor="page" w:x="1150" w:y="124"/>
              <w:spacing w:line="360" w:lineRule="auto"/>
              <w:ind w:firstLine="709"/>
              <w:jc w:val="both"/>
              <w:rPr>
                <w:sz w:val="28"/>
                <w:szCs w:val="20"/>
              </w:rPr>
            </w:pPr>
          </w:p>
        </w:tc>
        <w:tc>
          <w:tcPr>
            <w:tcW w:w="1210" w:type="dxa"/>
            <w:vMerge/>
            <w:tcBorders>
              <w:left w:val="single" w:sz="4" w:space="0" w:color="auto"/>
            </w:tcBorders>
            <w:shd w:val="clear" w:color="auto" w:fill="FFFFFF"/>
          </w:tcPr>
          <w:p w:rsidR="002B2BE0" w:rsidRPr="002B2BE0" w:rsidRDefault="002B2BE0" w:rsidP="002B2BE0">
            <w:pPr>
              <w:framePr w:w="10085" w:wrap="notBeside" w:vAnchor="text" w:hAnchor="page" w:x="1150" w:y="124"/>
              <w:spacing w:line="360" w:lineRule="auto"/>
              <w:ind w:firstLine="709"/>
              <w:jc w:val="center"/>
              <w:rPr>
                <w:sz w:val="28"/>
                <w:szCs w:val="20"/>
              </w:rPr>
            </w:pPr>
          </w:p>
        </w:tc>
        <w:tc>
          <w:tcPr>
            <w:tcW w:w="1418" w:type="dxa"/>
            <w:vMerge/>
            <w:tcBorders>
              <w:left w:val="single" w:sz="4" w:space="0" w:color="auto"/>
            </w:tcBorders>
            <w:shd w:val="clear" w:color="auto" w:fill="FFFFFF"/>
          </w:tcPr>
          <w:p w:rsidR="002B2BE0" w:rsidRPr="002B2BE0" w:rsidRDefault="002B2BE0" w:rsidP="002B2BE0">
            <w:pPr>
              <w:framePr w:w="10085" w:wrap="notBeside" w:vAnchor="text" w:hAnchor="page" w:x="1150" w:y="124"/>
              <w:spacing w:line="360" w:lineRule="auto"/>
              <w:ind w:left="130" w:right="113" w:firstLine="709"/>
              <w:jc w:val="center"/>
              <w:rPr>
                <w:sz w:val="28"/>
                <w:szCs w:val="20"/>
              </w:rPr>
            </w:pPr>
          </w:p>
        </w:tc>
        <w:tc>
          <w:tcPr>
            <w:tcW w:w="1677" w:type="dxa"/>
            <w:tcBorders>
              <w:top w:val="single" w:sz="4" w:space="0" w:color="auto"/>
              <w:left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74" w:lineRule="exact"/>
              <w:ind w:left="151" w:right="113"/>
              <w:jc w:val="center"/>
              <w:rPr>
                <w:color w:val="000000"/>
                <w:sz w:val="22"/>
                <w:szCs w:val="22"/>
              </w:rPr>
            </w:pPr>
            <w:r w:rsidRPr="002B2BE0">
              <w:rPr>
                <w:sz w:val="22"/>
                <w:szCs w:val="22"/>
                <w:shd w:val="clear" w:color="auto" w:fill="FFFFFF"/>
              </w:rPr>
              <w:t>Абсолютная, в тыс. руб. (гр.4-гр.3)</w:t>
            </w:r>
          </w:p>
        </w:tc>
        <w:tc>
          <w:tcPr>
            <w:tcW w:w="1725" w:type="dxa"/>
            <w:tcBorders>
              <w:top w:val="single" w:sz="4" w:space="0" w:color="auto"/>
              <w:left w:val="single" w:sz="4" w:space="0" w:color="auto"/>
              <w:right w:val="single" w:sz="4" w:space="0" w:color="auto"/>
            </w:tcBorders>
            <w:shd w:val="clear" w:color="auto" w:fill="FFFFFF"/>
          </w:tcPr>
          <w:p w:rsidR="002B2BE0" w:rsidRPr="002B2BE0" w:rsidRDefault="002B2BE0" w:rsidP="002B2BE0">
            <w:pPr>
              <w:framePr w:w="10085" w:wrap="notBeside" w:vAnchor="text" w:hAnchor="page" w:x="1150" w:y="124"/>
              <w:widowControl w:val="0"/>
              <w:tabs>
                <w:tab w:val="left" w:pos="2135"/>
              </w:tabs>
              <w:spacing w:after="180" w:line="274" w:lineRule="exact"/>
              <w:ind w:left="8" w:right="152"/>
              <w:jc w:val="center"/>
              <w:rPr>
                <w:color w:val="000000"/>
                <w:sz w:val="22"/>
                <w:szCs w:val="22"/>
              </w:rPr>
            </w:pPr>
            <w:r w:rsidRPr="002B2BE0">
              <w:rPr>
                <w:sz w:val="22"/>
                <w:szCs w:val="22"/>
                <w:shd w:val="clear" w:color="auto" w:fill="FFFFFF"/>
              </w:rPr>
              <w:t>Относительная, в % (гр.5:гр.3х100)</w:t>
            </w:r>
          </w:p>
        </w:tc>
      </w:tr>
      <w:tr w:rsidR="002B2BE0" w:rsidRPr="002B2BE0" w:rsidTr="00971736">
        <w:trPr>
          <w:trHeight w:hRule="exact" w:val="288"/>
          <w:jc w:val="center"/>
        </w:trPr>
        <w:tc>
          <w:tcPr>
            <w:tcW w:w="2785" w:type="dxa"/>
            <w:tcBorders>
              <w:top w:val="single" w:sz="4" w:space="0" w:color="auto"/>
              <w:left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ind w:left="133"/>
              <w:jc w:val="center"/>
              <w:rPr>
                <w:color w:val="000000"/>
                <w:sz w:val="22"/>
                <w:szCs w:val="22"/>
              </w:rPr>
            </w:pPr>
            <w:r w:rsidRPr="002B2BE0">
              <w:rPr>
                <w:sz w:val="22"/>
                <w:szCs w:val="22"/>
                <w:shd w:val="clear" w:color="auto" w:fill="FFFFFF"/>
              </w:rPr>
              <w:t>1</w:t>
            </w:r>
          </w:p>
        </w:tc>
        <w:tc>
          <w:tcPr>
            <w:tcW w:w="994" w:type="dxa"/>
            <w:tcBorders>
              <w:top w:val="single" w:sz="4" w:space="0" w:color="auto"/>
              <w:left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jc w:val="center"/>
              <w:rPr>
                <w:color w:val="000000"/>
                <w:sz w:val="22"/>
                <w:szCs w:val="22"/>
              </w:rPr>
            </w:pPr>
            <w:r w:rsidRPr="002B2BE0">
              <w:rPr>
                <w:sz w:val="22"/>
                <w:szCs w:val="22"/>
                <w:shd w:val="clear" w:color="auto" w:fill="FFFFFF"/>
              </w:rPr>
              <w:t>2</w:t>
            </w:r>
          </w:p>
        </w:tc>
        <w:tc>
          <w:tcPr>
            <w:tcW w:w="1210" w:type="dxa"/>
            <w:tcBorders>
              <w:top w:val="single" w:sz="4" w:space="0" w:color="auto"/>
              <w:left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jc w:val="center"/>
              <w:rPr>
                <w:color w:val="000000"/>
                <w:sz w:val="22"/>
                <w:szCs w:val="22"/>
              </w:rPr>
            </w:pPr>
            <w:r w:rsidRPr="002B2BE0">
              <w:rPr>
                <w:sz w:val="22"/>
                <w:szCs w:val="22"/>
                <w:shd w:val="clear" w:color="auto" w:fill="FFFFFF"/>
              </w:rPr>
              <w:t>3</w:t>
            </w:r>
          </w:p>
        </w:tc>
        <w:tc>
          <w:tcPr>
            <w:tcW w:w="1418" w:type="dxa"/>
            <w:tcBorders>
              <w:top w:val="single" w:sz="4" w:space="0" w:color="auto"/>
              <w:left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ind w:left="130" w:right="113"/>
              <w:jc w:val="center"/>
              <w:rPr>
                <w:color w:val="000000"/>
                <w:sz w:val="22"/>
                <w:szCs w:val="22"/>
              </w:rPr>
            </w:pPr>
            <w:r w:rsidRPr="002B2BE0">
              <w:rPr>
                <w:sz w:val="22"/>
                <w:szCs w:val="22"/>
                <w:shd w:val="clear" w:color="auto" w:fill="FFFFFF"/>
              </w:rPr>
              <w:t>4</w:t>
            </w:r>
          </w:p>
        </w:tc>
        <w:tc>
          <w:tcPr>
            <w:tcW w:w="1677" w:type="dxa"/>
            <w:tcBorders>
              <w:top w:val="single" w:sz="4" w:space="0" w:color="auto"/>
              <w:left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ind w:left="151" w:right="113"/>
              <w:jc w:val="center"/>
              <w:rPr>
                <w:color w:val="000000"/>
                <w:sz w:val="22"/>
                <w:szCs w:val="22"/>
              </w:rPr>
            </w:pPr>
            <w:r w:rsidRPr="002B2BE0">
              <w:rPr>
                <w:sz w:val="22"/>
                <w:szCs w:val="22"/>
                <w:shd w:val="clear" w:color="auto" w:fill="FFFFFF"/>
              </w:rPr>
              <w:t>5</w:t>
            </w:r>
          </w:p>
        </w:tc>
        <w:tc>
          <w:tcPr>
            <w:tcW w:w="1725" w:type="dxa"/>
            <w:tcBorders>
              <w:top w:val="single" w:sz="4" w:space="0" w:color="auto"/>
              <w:left w:val="single" w:sz="4" w:space="0" w:color="auto"/>
              <w:right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ind w:left="150" w:right="152"/>
              <w:jc w:val="center"/>
              <w:rPr>
                <w:color w:val="000000"/>
                <w:sz w:val="22"/>
                <w:szCs w:val="22"/>
              </w:rPr>
            </w:pPr>
            <w:r w:rsidRPr="002B2BE0">
              <w:rPr>
                <w:sz w:val="22"/>
                <w:szCs w:val="22"/>
                <w:shd w:val="clear" w:color="auto" w:fill="FFFFFF"/>
              </w:rPr>
              <w:t>6</w:t>
            </w:r>
          </w:p>
        </w:tc>
      </w:tr>
      <w:tr w:rsidR="002B2BE0" w:rsidRPr="002B2BE0" w:rsidTr="00971736">
        <w:trPr>
          <w:trHeight w:hRule="exact" w:val="562"/>
          <w:jc w:val="center"/>
        </w:trPr>
        <w:tc>
          <w:tcPr>
            <w:tcW w:w="2785" w:type="dxa"/>
            <w:tcBorders>
              <w:top w:val="single" w:sz="4" w:space="0" w:color="auto"/>
              <w:left w:val="single" w:sz="4" w:space="0" w:color="auto"/>
              <w:bottom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78" w:lineRule="exact"/>
              <w:ind w:left="133"/>
              <w:jc w:val="center"/>
              <w:rPr>
                <w:color w:val="000000"/>
                <w:sz w:val="22"/>
                <w:szCs w:val="22"/>
              </w:rPr>
            </w:pPr>
            <w:r w:rsidRPr="002B2BE0">
              <w:rPr>
                <w:b/>
                <w:bCs/>
                <w:sz w:val="22"/>
                <w:szCs w:val="22"/>
                <w:shd w:val="clear" w:color="auto" w:fill="FFFFFF"/>
              </w:rPr>
              <w:t>Всего в 2024 году</w:t>
            </w:r>
            <w:r w:rsidRPr="002B2BE0">
              <w:rPr>
                <w:sz w:val="22"/>
                <w:szCs w:val="22"/>
                <w:shd w:val="clear" w:color="auto" w:fill="FFFFFF"/>
              </w:rPr>
              <w:t>, в том числе:</w:t>
            </w:r>
          </w:p>
        </w:tc>
        <w:tc>
          <w:tcPr>
            <w:tcW w:w="994" w:type="dxa"/>
            <w:tcBorders>
              <w:top w:val="single" w:sz="4" w:space="0" w:color="auto"/>
              <w:left w:val="single" w:sz="4" w:space="0" w:color="auto"/>
              <w:bottom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jc w:val="center"/>
              <w:rPr>
                <w:color w:val="000000"/>
                <w:sz w:val="22"/>
                <w:szCs w:val="22"/>
              </w:rPr>
            </w:pPr>
            <w:r w:rsidRPr="002B2BE0">
              <w:rPr>
                <w:color w:val="000000"/>
                <w:sz w:val="22"/>
                <w:szCs w:val="22"/>
              </w:rPr>
              <w:t>38</w:t>
            </w:r>
          </w:p>
        </w:tc>
        <w:tc>
          <w:tcPr>
            <w:tcW w:w="1210" w:type="dxa"/>
            <w:tcBorders>
              <w:top w:val="single" w:sz="4" w:space="0" w:color="auto"/>
              <w:left w:val="single" w:sz="4" w:space="0" w:color="auto"/>
              <w:bottom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jc w:val="center"/>
              <w:rPr>
                <w:color w:val="000000"/>
                <w:sz w:val="20"/>
                <w:szCs w:val="20"/>
              </w:rPr>
            </w:pPr>
            <w:r w:rsidRPr="002B2BE0">
              <w:rPr>
                <w:color w:val="000000"/>
                <w:sz w:val="20"/>
                <w:szCs w:val="20"/>
              </w:rPr>
              <w:t>16 467,6</w:t>
            </w:r>
          </w:p>
        </w:tc>
        <w:tc>
          <w:tcPr>
            <w:tcW w:w="1418" w:type="dxa"/>
            <w:tcBorders>
              <w:top w:val="single" w:sz="4" w:space="0" w:color="auto"/>
              <w:left w:val="single" w:sz="4" w:space="0" w:color="auto"/>
              <w:bottom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ind w:left="130" w:right="113"/>
              <w:jc w:val="center"/>
              <w:rPr>
                <w:color w:val="000000"/>
                <w:sz w:val="20"/>
                <w:szCs w:val="20"/>
              </w:rPr>
            </w:pPr>
            <w:r w:rsidRPr="002B2BE0">
              <w:rPr>
                <w:color w:val="000000"/>
                <w:sz w:val="20"/>
                <w:szCs w:val="20"/>
              </w:rPr>
              <w:t>15 423,8</w:t>
            </w:r>
          </w:p>
        </w:tc>
        <w:tc>
          <w:tcPr>
            <w:tcW w:w="1677" w:type="dxa"/>
            <w:tcBorders>
              <w:top w:val="single" w:sz="4" w:space="0" w:color="auto"/>
              <w:left w:val="single" w:sz="4" w:space="0" w:color="auto"/>
              <w:bottom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ind w:left="151" w:right="113"/>
              <w:jc w:val="center"/>
              <w:rPr>
                <w:color w:val="000000"/>
                <w:sz w:val="20"/>
                <w:szCs w:val="20"/>
              </w:rPr>
            </w:pPr>
            <w:r w:rsidRPr="002B2BE0">
              <w:rPr>
                <w:color w:val="000000"/>
                <w:sz w:val="20"/>
                <w:szCs w:val="20"/>
              </w:rPr>
              <w:t>1 043,8</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ind w:left="150" w:right="152"/>
              <w:jc w:val="center"/>
              <w:rPr>
                <w:color w:val="000000"/>
                <w:sz w:val="22"/>
                <w:szCs w:val="22"/>
              </w:rPr>
            </w:pPr>
            <w:r w:rsidRPr="002B2BE0">
              <w:rPr>
                <w:color w:val="000000"/>
                <w:sz w:val="22"/>
                <w:szCs w:val="22"/>
              </w:rPr>
              <w:t>6,3</w:t>
            </w:r>
          </w:p>
        </w:tc>
      </w:tr>
      <w:tr w:rsidR="002B2BE0" w:rsidRPr="002B2BE0" w:rsidTr="00971736">
        <w:trPr>
          <w:trHeight w:hRule="exact" w:val="283"/>
          <w:jc w:val="center"/>
        </w:trPr>
        <w:tc>
          <w:tcPr>
            <w:tcW w:w="2785" w:type="dxa"/>
            <w:tcBorders>
              <w:top w:val="single" w:sz="4" w:space="0" w:color="auto"/>
              <w:left w:val="single" w:sz="4" w:space="0" w:color="auto"/>
              <w:bottom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ind w:left="133"/>
              <w:jc w:val="center"/>
              <w:rPr>
                <w:color w:val="000000"/>
                <w:sz w:val="22"/>
                <w:szCs w:val="22"/>
              </w:rPr>
            </w:pPr>
            <w:r w:rsidRPr="002B2BE0">
              <w:rPr>
                <w:sz w:val="22"/>
                <w:szCs w:val="22"/>
                <w:shd w:val="clear" w:color="auto" w:fill="FFFFFF"/>
              </w:rPr>
              <w:t>Электронный аукцион</w:t>
            </w:r>
          </w:p>
        </w:tc>
        <w:tc>
          <w:tcPr>
            <w:tcW w:w="994" w:type="dxa"/>
            <w:tcBorders>
              <w:top w:val="single" w:sz="4" w:space="0" w:color="auto"/>
              <w:left w:val="single" w:sz="4" w:space="0" w:color="auto"/>
              <w:bottom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jc w:val="center"/>
              <w:rPr>
                <w:color w:val="000000"/>
                <w:sz w:val="22"/>
                <w:szCs w:val="22"/>
              </w:rPr>
            </w:pPr>
            <w:r w:rsidRPr="002B2BE0">
              <w:rPr>
                <w:color w:val="000000"/>
                <w:sz w:val="22"/>
                <w:szCs w:val="22"/>
              </w:rPr>
              <w:t>6</w:t>
            </w:r>
          </w:p>
        </w:tc>
        <w:tc>
          <w:tcPr>
            <w:tcW w:w="1210" w:type="dxa"/>
            <w:tcBorders>
              <w:top w:val="single" w:sz="4" w:space="0" w:color="auto"/>
              <w:left w:val="single" w:sz="4" w:space="0" w:color="auto"/>
              <w:bottom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jc w:val="center"/>
              <w:rPr>
                <w:color w:val="000000"/>
                <w:sz w:val="20"/>
                <w:szCs w:val="20"/>
              </w:rPr>
            </w:pPr>
            <w:r w:rsidRPr="002B2BE0">
              <w:rPr>
                <w:color w:val="000000"/>
                <w:sz w:val="20"/>
                <w:szCs w:val="20"/>
              </w:rPr>
              <w:t>13 325,9</w:t>
            </w:r>
          </w:p>
        </w:tc>
        <w:tc>
          <w:tcPr>
            <w:tcW w:w="1418" w:type="dxa"/>
            <w:tcBorders>
              <w:top w:val="single" w:sz="4" w:space="0" w:color="auto"/>
              <w:left w:val="single" w:sz="4" w:space="0" w:color="auto"/>
              <w:bottom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ind w:left="130" w:right="113"/>
              <w:jc w:val="center"/>
              <w:rPr>
                <w:color w:val="000000"/>
                <w:sz w:val="20"/>
                <w:szCs w:val="20"/>
              </w:rPr>
            </w:pPr>
            <w:r w:rsidRPr="002B2BE0">
              <w:rPr>
                <w:color w:val="000000"/>
                <w:sz w:val="20"/>
                <w:szCs w:val="20"/>
              </w:rPr>
              <w:t>12 293,6</w:t>
            </w:r>
          </w:p>
        </w:tc>
        <w:tc>
          <w:tcPr>
            <w:tcW w:w="1677" w:type="dxa"/>
            <w:tcBorders>
              <w:top w:val="single" w:sz="4" w:space="0" w:color="auto"/>
              <w:left w:val="single" w:sz="4" w:space="0" w:color="auto"/>
              <w:bottom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ind w:left="151" w:right="113"/>
              <w:jc w:val="center"/>
              <w:rPr>
                <w:color w:val="000000"/>
                <w:sz w:val="20"/>
                <w:szCs w:val="20"/>
              </w:rPr>
            </w:pPr>
            <w:r w:rsidRPr="002B2BE0">
              <w:rPr>
                <w:color w:val="000000"/>
                <w:sz w:val="20"/>
                <w:szCs w:val="20"/>
              </w:rPr>
              <w:t>1032,3</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2B2BE0" w:rsidRPr="002B2BE0" w:rsidRDefault="002B2BE0" w:rsidP="002B2BE0">
            <w:pPr>
              <w:framePr w:w="10085" w:wrap="notBeside" w:vAnchor="text" w:hAnchor="page" w:x="1150" w:y="124"/>
              <w:widowControl w:val="0"/>
              <w:spacing w:after="180" w:line="230" w:lineRule="exact"/>
              <w:ind w:left="150" w:right="152"/>
              <w:jc w:val="center"/>
              <w:rPr>
                <w:color w:val="000000"/>
                <w:sz w:val="22"/>
                <w:szCs w:val="22"/>
              </w:rPr>
            </w:pPr>
            <w:r w:rsidRPr="002B2BE0">
              <w:rPr>
                <w:color w:val="000000"/>
                <w:sz w:val="22"/>
                <w:szCs w:val="22"/>
              </w:rPr>
              <w:t>8,3</w:t>
            </w:r>
          </w:p>
        </w:tc>
      </w:tr>
    </w:tbl>
    <w:p w:rsidR="002B2BE0" w:rsidRPr="002B2BE0" w:rsidRDefault="002B2BE0" w:rsidP="002B2BE0">
      <w:pPr>
        <w:autoSpaceDE w:val="0"/>
        <w:autoSpaceDN w:val="0"/>
        <w:adjustRightInd w:val="0"/>
        <w:ind w:firstLine="709"/>
        <w:jc w:val="both"/>
        <w:outlineLvl w:val="0"/>
        <w:rPr>
          <w:sz w:val="28"/>
          <w:szCs w:val="28"/>
        </w:rPr>
      </w:pPr>
      <w:r w:rsidRPr="002B2BE0">
        <w:rPr>
          <w:sz w:val="28"/>
          <w:szCs w:val="28"/>
        </w:rPr>
        <w:t xml:space="preserve">Из данных таблицы следует, что за счёт проведения процедур по определению поставщиков (подрядчиков, исполнителей) абсолютная </w:t>
      </w:r>
      <w:r w:rsidRPr="002B2BE0">
        <w:rPr>
          <w:sz w:val="28"/>
          <w:szCs w:val="28"/>
        </w:rPr>
        <w:lastRenderedPageBreak/>
        <w:t>экономия бюджетных средств составила в 2024 году – 1 032,3 тыс. рублей,  относительная экономия  – 8,3%.</w:t>
      </w:r>
    </w:p>
    <w:p w:rsidR="002B2BE0" w:rsidRPr="002B2BE0" w:rsidRDefault="002B2BE0" w:rsidP="002B2BE0">
      <w:pPr>
        <w:widowControl w:val="0"/>
        <w:ind w:firstLine="709"/>
        <w:jc w:val="both"/>
        <w:rPr>
          <w:color w:val="000000"/>
          <w:sz w:val="28"/>
          <w:szCs w:val="28"/>
        </w:rPr>
      </w:pPr>
      <w:r w:rsidRPr="002B2BE0">
        <w:rPr>
          <w:color w:val="000000"/>
          <w:sz w:val="28"/>
          <w:szCs w:val="28"/>
        </w:rPr>
        <w:t>Наличие дополнительной экономии бюджетных средств, полученной по результатам осуществления закупок и экономии бюджетных средств при исполнении муниципальных контрактов (снижение цены контракта без изменения предусмотренных контрактом количества товара, объёма работы или услуги, качества поставляемого товара, выполненной работы, оказываемой услуги и иных условий контракта) не установлено.</w:t>
      </w:r>
    </w:p>
    <w:p w:rsidR="002B2BE0" w:rsidRPr="002B2BE0" w:rsidRDefault="002B2BE0" w:rsidP="002B2BE0">
      <w:pPr>
        <w:widowControl w:val="0"/>
        <w:ind w:firstLine="709"/>
        <w:jc w:val="both"/>
        <w:rPr>
          <w:color w:val="000000"/>
          <w:sz w:val="28"/>
          <w:szCs w:val="28"/>
        </w:rPr>
      </w:pPr>
      <w:r w:rsidRPr="002B2BE0">
        <w:rPr>
          <w:color w:val="000000"/>
          <w:sz w:val="28"/>
          <w:szCs w:val="28"/>
        </w:rPr>
        <w:t>При этом, в 2024 году расторгнуто 2 контракта, заключенных посредством конкурентной процедуры. Суммарно цена контрактов составила 6 057,0 тыс. рублей. Оплата при исполнении контрактов  заказчиком не осуществлялась.</w:t>
      </w:r>
    </w:p>
    <w:p w:rsidR="002B2BE0" w:rsidRPr="002B2BE0" w:rsidRDefault="002B2BE0" w:rsidP="002B2BE0">
      <w:pPr>
        <w:ind w:firstLine="709"/>
        <w:jc w:val="both"/>
        <w:rPr>
          <w:rFonts w:eastAsia="Calibri"/>
          <w:i/>
          <w:sz w:val="28"/>
          <w:szCs w:val="28"/>
          <w:lang w:eastAsia="zh-CN"/>
        </w:rPr>
      </w:pPr>
      <w:r w:rsidRPr="002B2BE0">
        <w:rPr>
          <w:rFonts w:eastAsia="Calibri"/>
          <w:i/>
          <w:sz w:val="28"/>
          <w:szCs w:val="28"/>
          <w:lang w:eastAsia="zh-CN"/>
        </w:rPr>
        <w:t>В процессе анализа закупочных процедур установлен низкий уровень конкуренции участников конкурентных закупок. Доля закупок с тремя и более участниками в общем количестве поданных заявок составляет 16,7% (или единица). В таблице представлено общее количество анализируемых закупок:</w:t>
      </w:r>
    </w:p>
    <w:p w:rsidR="002B2BE0" w:rsidRPr="002B2BE0" w:rsidRDefault="002B2BE0" w:rsidP="002B2BE0">
      <w:pPr>
        <w:ind w:firstLine="709"/>
        <w:jc w:val="both"/>
        <w:rPr>
          <w:rFonts w:eastAsia="Calibri"/>
          <w:color w:val="FF0000"/>
          <w:lang w:eastAsia="zh-CN"/>
        </w:rPr>
      </w:pPr>
    </w:p>
    <w:tbl>
      <w:tblPr>
        <w:tblW w:w="10430" w:type="dxa"/>
        <w:tblInd w:w="-572" w:type="dxa"/>
        <w:tblLayout w:type="fixed"/>
        <w:tblLook w:val="04A0" w:firstRow="1" w:lastRow="0" w:firstColumn="1" w:lastColumn="0" w:noHBand="0" w:noVBand="1"/>
      </w:tblPr>
      <w:tblGrid>
        <w:gridCol w:w="1701"/>
        <w:gridCol w:w="1560"/>
        <w:gridCol w:w="1417"/>
        <w:gridCol w:w="709"/>
        <w:gridCol w:w="1276"/>
        <w:gridCol w:w="1275"/>
        <w:gridCol w:w="993"/>
        <w:gridCol w:w="708"/>
        <w:gridCol w:w="791"/>
      </w:tblGrid>
      <w:tr w:rsidR="002B2BE0" w:rsidRPr="002B2BE0" w:rsidTr="00971736">
        <w:trPr>
          <w:trHeight w:val="62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2BE0" w:rsidRPr="002B2BE0" w:rsidRDefault="002B2BE0" w:rsidP="002B2BE0">
            <w:pPr>
              <w:jc w:val="center"/>
              <w:rPr>
                <w:bCs/>
                <w:sz w:val="18"/>
                <w:szCs w:val="18"/>
              </w:rPr>
            </w:pPr>
            <w:r w:rsidRPr="002B2BE0">
              <w:rPr>
                <w:bCs/>
                <w:sz w:val="18"/>
                <w:szCs w:val="18"/>
              </w:rPr>
              <w:t>Предмет контракта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2BE0" w:rsidRPr="002B2BE0" w:rsidRDefault="002B2BE0" w:rsidP="002B2BE0">
            <w:pPr>
              <w:jc w:val="center"/>
              <w:rPr>
                <w:bCs/>
                <w:sz w:val="18"/>
                <w:szCs w:val="18"/>
              </w:rPr>
            </w:pPr>
            <w:r w:rsidRPr="002B2BE0">
              <w:rPr>
                <w:bCs/>
                <w:sz w:val="18"/>
                <w:szCs w:val="18"/>
              </w:rPr>
              <w:t xml:space="preserve">№ и дата </w:t>
            </w:r>
          </w:p>
          <w:p w:rsidR="002B2BE0" w:rsidRPr="002B2BE0" w:rsidRDefault="002B2BE0" w:rsidP="002B2BE0">
            <w:pPr>
              <w:jc w:val="center"/>
              <w:rPr>
                <w:bCs/>
                <w:sz w:val="18"/>
                <w:szCs w:val="18"/>
              </w:rPr>
            </w:pPr>
            <w:r w:rsidRPr="002B2BE0">
              <w:rPr>
                <w:bCs/>
                <w:sz w:val="18"/>
                <w:szCs w:val="18"/>
              </w:rPr>
              <w:t>Контракта</w:t>
            </w:r>
          </w:p>
        </w:tc>
        <w:tc>
          <w:tcPr>
            <w:tcW w:w="1417" w:type="dxa"/>
            <w:vMerge w:val="restart"/>
            <w:tcBorders>
              <w:top w:val="single" w:sz="4" w:space="0" w:color="auto"/>
              <w:left w:val="nil"/>
              <w:bottom w:val="nil"/>
              <w:right w:val="single" w:sz="4" w:space="0" w:color="auto"/>
            </w:tcBorders>
            <w:shd w:val="clear" w:color="auto" w:fill="auto"/>
            <w:hideMark/>
          </w:tcPr>
          <w:p w:rsidR="002B2BE0" w:rsidRPr="002B2BE0" w:rsidRDefault="002B2BE0" w:rsidP="002B2BE0">
            <w:pPr>
              <w:jc w:val="center"/>
              <w:rPr>
                <w:bCs/>
                <w:sz w:val="18"/>
                <w:szCs w:val="18"/>
              </w:rPr>
            </w:pPr>
            <w:r w:rsidRPr="002B2BE0">
              <w:rPr>
                <w:bCs/>
                <w:sz w:val="18"/>
                <w:szCs w:val="18"/>
              </w:rPr>
              <w:t>Основание закупки</w:t>
            </w:r>
          </w:p>
          <w:p w:rsidR="002B2BE0" w:rsidRPr="002B2BE0" w:rsidRDefault="002B2BE0" w:rsidP="002B2BE0">
            <w:pPr>
              <w:jc w:val="center"/>
              <w:rPr>
                <w:bCs/>
                <w:sz w:val="18"/>
                <w:szCs w:val="18"/>
              </w:rPr>
            </w:pPr>
          </w:p>
        </w:tc>
        <w:tc>
          <w:tcPr>
            <w:tcW w:w="709" w:type="dxa"/>
            <w:vMerge w:val="restart"/>
            <w:tcBorders>
              <w:top w:val="single" w:sz="4" w:space="0" w:color="auto"/>
              <w:left w:val="nil"/>
              <w:bottom w:val="nil"/>
              <w:right w:val="single" w:sz="4" w:space="0" w:color="auto"/>
            </w:tcBorders>
            <w:shd w:val="clear" w:color="auto" w:fill="auto"/>
            <w:hideMark/>
          </w:tcPr>
          <w:p w:rsidR="002B2BE0" w:rsidRPr="002B2BE0" w:rsidRDefault="002B2BE0" w:rsidP="002B2BE0">
            <w:pPr>
              <w:jc w:val="center"/>
              <w:rPr>
                <w:bCs/>
                <w:sz w:val="18"/>
                <w:szCs w:val="18"/>
              </w:rPr>
            </w:pPr>
            <w:r w:rsidRPr="002B2BE0">
              <w:rPr>
                <w:bCs/>
                <w:sz w:val="18"/>
                <w:szCs w:val="18"/>
              </w:rPr>
              <w:t>Кол-во учас-</w:t>
            </w:r>
          </w:p>
          <w:p w:rsidR="002B2BE0" w:rsidRPr="002B2BE0" w:rsidRDefault="002B2BE0" w:rsidP="002B2BE0">
            <w:pPr>
              <w:jc w:val="center"/>
              <w:rPr>
                <w:bCs/>
                <w:sz w:val="18"/>
                <w:szCs w:val="18"/>
              </w:rPr>
            </w:pPr>
            <w:r w:rsidRPr="002B2BE0">
              <w:rPr>
                <w:bCs/>
                <w:sz w:val="18"/>
                <w:szCs w:val="18"/>
              </w:rPr>
              <w:t>тни-</w:t>
            </w:r>
          </w:p>
          <w:p w:rsidR="002B2BE0" w:rsidRPr="002B2BE0" w:rsidRDefault="002B2BE0" w:rsidP="002B2BE0">
            <w:pPr>
              <w:jc w:val="center"/>
              <w:rPr>
                <w:bCs/>
                <w:sz w:val="18"/>
                <w:szCs w:val="18"/>
              </w:rPr>
            </w:pPr>
            <w:r w:rsidRPr="002B2BE0">
              <w:rPr>
                <w:bCs/>
                <w:sz w:val="18"/>
                <w:szCs w:val="18"/>
              </w:rPr>
              <w:t>ков</w:t>
            </w:r>
          </w:p>
        </w:tc>
        <w:tc>
          <w:tcPr>
            <w:tcW w:w="1276" w:type="dxa"/>
            <w:vMerge w:val="restart"/>
            <w:tcBorders>
              <w:top w:val="single" w:sz="4" w:space="0" w:color="auto"/>
              <w:left w:val="nil"/>
              <w:bottom w:val="nil"/>
              <w:right w:val="single" w:sz="4" w:space="0" w:color="auto"/>
            </w:tcBorders>
            <w:shd w:val="clear" w:color="auto" w:fill="auto"/>
            <w:hideMark/>
          </w:tcPr>
          <w:p w:rsidR="002B2BE0" w:rsidRPr="002B2BE0" w:rsidRDefault="002B2BE0" w:rsidP="002B2BE0">
            <w:pPr>
              <w:jc w:val="center"/>
              <w:rPr>
                <w:bCs/>
                <w:sz w:val="18"/>
                <w:szCs w:val="18"/>
              </w:rPr>
            </w:pPr>
            <w:r w:rsidRPr="002B2BE0">
              <w:rPr>
                <w:bCs/>
                <w:sz w:val="18"/>
                <w:szCs w:val="18"/>
              </w:rPr>
              <w:t>НМЦК</w:t>
            </w:r>
          </w:p>
          <w:p w:rsidR="002B2BE0" w:rsidRPr="002B2BE0" w:rsidRDefault="002B2BE0" w:rsidP="002B2BE0">
            <w:pPr>
              <w:jc w:val="center"/>
              <w:rPr>
                <w:bCs/>
                <w:sz w:val="18"/>
                <w:szCs w:val="18"/>
              </w:rPr>
            </w:pPr>
            <w:r w:rsidRPr="002B2BE0">
              <w:rPr>
                <w:bCs/>
                <w:sz w:val="18"/>
                <w:szCs w:val="18"/>
              </w:rPr>
              <w:t>(тыс.</w:t>
            </w:r>
          </w:p>
          <w:p w:rsidR="002B2BE0" w:rsidRPr="002B2BE0" w:rsidRDefault="002B2BE0" w:rsidP="002B2BE0">
            <w:pPr>
              <w:jc w:val="center"/>
              <w:rPr>
                <w:bCs/>
                <w:sz w:val="18"/>
                <w:szCs w:val="18"/>
              </w:rPr>
            </w:pPr>
            <w:r w:rsidRPr="002B2BE0">
              <w:rPr>
                <w:bCs/>
                <w:sz w:val="18"/>
                <w:szCs w:val="18"/>
              </w:rPr>
              <w:t>руб.)</w:t>
            </w:r>
          </w:p>
          <w:p w:rsidR="002B2BE0" w:rsidRPr="002B2BE0" w:rsidRDefault="002B2BE0" w:rsidP="002B2BE0">
            <w:pPr>
              <w:jc w:val="center"/>
              <w:rPr>
                <w:bCs/>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2BE0" w:rsidRPr="002B2BE0" w:rsidRDefault="002B2BE0" w:rsidP="002B2BE0">
            <w:pPr>
              <w:jc w:val="center"/>
              <w:rPr>
                <w:bCs/>
                <w:sz w:val="18"/>
                <w:szCs w:val="18"/>
              </w:rPr>
            </w:pPr>
            <w:r w:rsidRPr="002B2BE0">
              <w:rPr>
                <w:bCs/>
                <w:sz w:val="18"/>
                <w:szCs w:val="18"/>
              </w:rPr>
              <w:t xml:space="preserve">Цена </w:t>
            </w:r>
          </w:p>
          <w:p w:rsidR="002B2BE0" w:rsidRPr="002B2BE0" w:rsidRDefault="002B2BE0" w:rsidP="002B2BE0">
            <w:pPr>
              <w:jc w:val="center"/>
              <w:rPr>
                <w:bCs/>
                <w:sz w:val="18"/>
                <w:szCs w:val="18"/>
              </w:rPr>
            </w:pPr>
            <w:r w:rsidRPr="002B2BE0">
              <w:rPr>
                <w:bCs/>
                <w:sz w:val="18"/>
                <w:szCs w:val="18"/>
              </w:rPr>
              <w:t>контракта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B2BE0" w:rsidRPr="002B2BE0" w:rsidRDefault="002B2BE0" w:rsidP="002B2BE0">
            <w:pPr>
              <w:jc w:val="center"/>
              <w:rPr>
                <w:bCs/>
                <w:sz w:val="18"/>
                <w:szCs w:val="18"/>
              </w:rPr>
            </w:pPr>
            <w:r w:rsidRPr="002B2BE0">
              <w:rPr>
                <w:bCs/>
                <w:sz w:val="18"/>
                <w:szCs w:val="18"/>
              </w:rPr>
              <w:t>Экономия</w:t>
            </w:r>
          </w:p>
        </w:tc>
        <w:tc>
          <w:tcPr>
            <w:tcW w:w="791" w:type="dxa"/>
            <w:vMerge w:val="restart"/>
            <w:tcBorders>
              <w:top w:val="single" w:sz="4" w:space="0" w:color="auto"/>
              <w:left w:val="single" w:sz="4" w:space="0" w:color="auto"/>
              <w:right w:val="single" w:sz="4" w:space="0" w:color="auto"/>
            </w:tcBorders>
          </w:tcPr>
          <w:p w:rsidR="002B2BE0" w:rsidRPr="002B2BE0" w:rsidRDefault="002B2BE0" w:rsidP="002B2BE0">
            <w:pPr>
              <w:jc w:val="center"/>
              <w:rPr>
                <w:bCs/>
                <w:sz w:val="18"/>
                <w:szCs w:val="18"/>
              </w:rPr>
            </w:pPr>
            <w:r w:rsidRPr="002B2BE0">
              <w:rPr>
                <w:bCs/>
                <w:sz w:val="18"/>
                <w:szCs w:val="18"/>
              </w:rPr>
              <w:t>Статус</w:t>
            </w:r>
          </w:p>
        </w:tc>
      </w:tr>
      <w:tr w:rsidR="002B2BE0" w:rsidRPr="002B2BE0" w:rsidTr="00971736">
        <w:trPr>
          <w:trHeight w:val="300"/>
        </w:trPr>
        <w:tc>
          <w:tcPr>
            <w:tcW w:w="1701" w:type="dxa"/>
            <w:vMerge/>
            <w:tcBorders>
              <w:top w:val="single" w:sz="4" w:space="0" w:color="auto"/>
              <w:left w:val="single" w:sz="4" w:space="0" w:color="auto"/>
              <w:bottom w:val="single" w:sz="4" w:space="0" w:color="auto"/>
              <w:right w:val="single" w:sz="4" w:space="0" w:color="auto"/>
            </w:tcBorders>
            <w:hideMark/>
          </w:tcPr>
          <w:p w:rsidR="002B2BE0" w:rsidRPr="002B2BE0" w:rsidRDefault="002B2BE0" w:rsidP="002B2BE0">
            <w:pPr>
              <w:jc w:val="cente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hideMark/>
          </w:tcPr>
          <w:p w:rsidR="002B2BE0" w:rsidRPr="002B2BE0" w:rsidRDefault="002B2BE0" w:rsidP="002B2BE0">
            <w:pPr>
              <w:jc w:val="center"/>
              <w:rPr>
                <w:b/>
                <w:bCs/>
                <w:sz w:val="18"/>
                <w:szCs w:val="18"/>
              </w:rPr>
            </w:pPr>
          </w:p>
        </w:tc>
        <w:tc>
          <w:tcPr>
            <w:tcW w:w="1417" w:type="dxa"/>
            <w:vMerge/>
            <w:tcBorders>
              <w:left w:val="nil"/>
              <w:bottom w:val="single" w:sz="4" w:space="0" w:color="auto"/>
              <w:right w:val="single" w:sz="4" w:space="0" w:color="auto"/>
            </w:tcBorders>
            <w:shd w:val="clear" w:color="auto" w:fill="auto"/>
            <w:hideMark/>
          </w:tcPr>
          <w:p w:rsidR="002B2BE0" w:rsidRPr="002B2BE0" w:rsidRDefault="002B2BE0" w:rsidP="002B2BE0">
            <w:pPr>
              <w:jc w:val="center"/>
              <w:rPr>
                <w:rFonts w:ascii="Calibri" w:hAnsi="Calibri" w:cs="Calibri"/>
                <w:sz w:val="22"/>
                <w:szCs w:val="22"/>
              </w:rPr>
            </w:pPr>
          </w:p>
        </w:tc>
        <w:tc>
          <w:tcPr>
            <w:tcW w:w="709" w:type="dxa"/>
            <w:vMerge/>
            <w:tcBorders>
              <w:left w:val="nil"/>
              <w:bottom w:val="single" w:sz="4" w:space="0" w:color="auto"/>
              <w:right w:val="single" w:sz="4" w:space="0" w:color="auto"/>
            </w:tcBorders>
            <w:shd w:val="clear" w:color="auto" w:fill="auto"/>
            <w:hideMark/>
          </w:tcPr>
          <w:p w:rsidR="002B2BE0" w:rsidRPr="002B2BE0" w:rsidRDefault="002B2BE0" w:rsidP="002B2BE0">
            <w:pPr>
              <w:jc w:val="center"/>
              <w:rPr>
                <w:b/>
                <w:bCs/>
                <w:sz w:val="18"/>
                <w:szCs w:val="18"/>
              </w:rPr>
            </w:pPr>
          </w:p>
        </w:tc>
        <w:tc>
          <w:tcPr>
            <w:tcW w:w="1276" w:type="dxa"/>
            <w:vMerge/>
            <w:tcBorders>
              <w:left w:val="nil"/>
              <w:bottom w:val="single" w:sz="4" w:space="0" w:color="auto"/>
              <w:right w:val="single" w:sz="4" w:space="0" w:color="auto"/>
            </w:tcBorders>
            <w:shd w:val="clear" w:color="auto" w:fill="auto"/>
            <w:hideMark/>
          </w:tcPr>
          <w:p w:rsidR="002B2BE0" w:rsidRPr="002B2BE0" w:rsidRDefault="002B2BE0" w:rsidP="002B2BE0">
            <w:pPr>
              <w:jc w:val="center"/>
              <w:rPr>
                <w:rFonts w:ascii="Calibri" w:hAnsi="Calibri" w:cs="Calibri"/>
                <w:sz w:val="22"/>
                <w:szCs w:val="22"/>
              </w:rPr>
            </w:pPr>
          </w:p>
        </w:tc>
        <w:tc>
          <w:tcPr>
            <w:tcW w:w="1275" w:type="dxa"/>
            <w:vMerge/>
            <w:tcBorders>
              <w:top w:val="single" w:sz="4" w:space="0" w:color="auto"/>
              <w:left w:val="single" w:sz="4" w:space="0" w:color="auto"/>
              <w:bottom w:val="single" w:sz="4" w:space="0" w:color="auto"/>
              <w:right w:val="single" w:sz="4" w:space="0" w:color="auto"/>
            </w:tcBorders>
            <w:hideMark/>
          </w:tcPr>
          <w:p w:rsidR="002B2BE0" w:rsidRPr="002B2BE0" w:rsidRDefault="002B2BE0" w:rsidP="002B2BE0">
            <w:pPr>
              <w:jc w:val="center"/>
              <w:rPr>
                <w:b/>
                <w:bCs/>
                <w:sz w:val="18"/>
                <w:szCs w:val="18"/>
              </w:rPr>
            </w:pPr>
          </w:p>
        </w:tc>
        <w:tc>
          <w:tcPr>
            <w:tcW w:w="993" w:type="dxa"/>
            <w:tcBorders>
              <w:top w:val="nil"/>
              <w:left w:val="nil"/>
              <w:bottom w:val="single" w:sz="4" w:space="0" w:color="auto"/>
              <w:right w:val="single" w:sz="4" w:space="0" w:color="auto"/>
            </w:tcBorders>
            <w:shd w:val="clear" w:color="auto" w:fill="auto"/>
            <w:hideMark/>
          </w:tcPr>
          <w:p w:rsidR="002B2BE0" w:rsidRPr="002B2BE0" w:rsidRDefault="002B2BE0" w:rsidP="002B2BE0">
            <w:pPr>
              <w:jc w:val="center"/>
              <w:rPr>
                <w:bCs/>
                <w:sz w:val="18"/>
                <w:szCs w:val="18"/>
              </w:rPr>
            </w:pPr>
            <w:r w:rsidRPr="002B2BE0">
              <w:rPr>
                <w:bCs/>
                <w:sz w:val="18"/>
                <w:szCs w:val="18"/>
              </w:rPr>
              <w:t>рублей</w:t>
            </w:r>
          </w:p>
        </w:tc>
        <w:tc>
          <w:tcPr>
            <w:tcW w:w="708" w:type="dxa"/>
            <w:tcBorders>
              <w:top w:val="nil"/>
              <w:left w:val="nil"/>
              <w:bottom w:val="single" w:sz="4" w:space="0" w:color="auto"/>
              <w:right w:val="single" w:sz="4" w:space="0" w:color="auto"/>
            </w:tcBorders>
            <w:shd w:val="clear" w:color="auto" w:fill="auto"/>
            <w:hideMark/>
          </w:tcPr>
          <w:p w:rsidR="002B2BE0" w:rsidRPr="002B2BE0" w:rsidRDefault="002B2BE0" w:rsidP="002B2BE0">
            <w:pPr>
              <w:jc w:val="center"/>
              <w:rPr>
                <w:bCs/>
                <w:sz w:val="18"/>
                <w:szCs w:val="18"/>
              </w:rPr>
            </w:pPr>
            <w:r w:rsidRPr="002B2BE0">
              <w:rPr>
                <w:bCs/>
                <w:sz w:val="18"/>
                <w:szCs w:val="18"/>
              </w:rPr>
              <w:t>%</w:t>
            </w:r>
          </w:p>
        </w:tc>
        <w:tc>
          <w:tcPr>
            <w:tcW w:w="791" w:type="dxa"/>
            <w:vMerge/>
            <w:tcBorders>
              <w:left w:val="single" w:sz="4" w:space="0" w:color="auto"/>
              <w:bottom w:val="single" w:sz="4" w:space="0" w:color="auto"/>
              <w:right w:val="single" w:sz="4" w:space="0" w:color="auto"/>
            </w:tcBorders>
          </w:tcPr>
          <w:p w:rsidR="002B2BE0" w:rsidRPr="002B2BE0" w:rsidRDefault="002B2BE0" w:rsidP="002B2BE0">
            <w:pPr>
              <w:jc w:val="center"/>
              <w:rPr>
                <w:b/>
                <w:bCs/>
                <w:sz w:val="18"/>
                <w:szCs w:val="18"/>
              </w:rPr>
            </w:pPr>
          </w:p>
        </w:tc>
      </w:tr>
      <w:tr w:rsidR="002B2BE0" w:rsidRPr="002B2BE0" w:rsidTr="00971736">
        <w:trPr>
          <w:trHeight w:val="960"/>
        </w:trPr>
        <w:tc>
          <w:tcPr>
            <w:tcW w:w="1701" w:type="dxa"/>
            <w:tcBorders>
              <w:top w:val="nil"/>
              <w:left w:val="single" w:sz="4" w:space="0" w:color="auto"/>
              <w:bottom w:val="single" w:sz="4" w:space="0" w:color="auto"/>
              <w:right w:val="single" w:sz="4" w:space="0" w:color="auto"/>
            </w:tcBorders>
            <w:shd w:val="clear" w:color="000000" w:fill="FFFFFF"/>
          </w:tcPr>
          <w:p w:rsidR="002B2BE0" w:rsidRPr="002B2BE0" w:rsidRDefault="002B2BE0" w:rsidP="002B2BE0">
            <w:pPr>
              <w:jc w:val="both"/>
              <w:rPr>
                <w:sz w:val="18"/>
                <w:szCs w:val="18"/>
              </w:rPr>
            </w:pPr>
            <w:r w:rsidRPr="002B2BE0">
              <w:rPr>
                <w:sz w:val="18"/>
                <w:szCs w:val="18"/>
              </w:rPr>
              <w:t>Ограждение территории</w:t>
            </w:r>
          </w:p>
        </w:tc>
        <w:tc>
          <w:tcPr>
            <w:tcW w:w="1560" w:type="dxa"/>
            <w:tcBorders>
              <w:top w:val="nil"/>
              <w:left w:val="nil"/>
              <w:bottom w:val="single" w:sz="4" w:space="0" w:color="auto"/>
              <w:right w:val="single" w:sz="4" w:space="0" w:color="auto"/>
            </w:tcBorders>
            <w:shd w:val="clear" w:color="000000" w:fill="FFFFFF"/>
          </w:tcPr>
          <w:p w:rsidR="002B2BE0" w:rsidRPr="002B2BE0" w:rsidRDefault="002B2BE0" w:rsidP="002B2BE0">
            <w:pPr>
              <w:rPr>
                <w:sz w:val="18"/>
                <w:szCs w:val="18"/>
              </w:rPr>
            </w:pPr>
            <w:r w:rsidRPr="002B2BE0">
              <w:rPr>
                <w:sz w:val="18"/>
                <w:szCs w:val="18"/>
              </w:rPr>
              <w:t>№0848600074924000070 от 27.05.2024 года</w:t>
            </w:r>
          </w:p>
        </w:tc>
        <w:tc>
          <w:tcPr>
            <w:tcW w:w="1417" w:type="dxa"/>
            <w:tcBorders>
              <w:top w:val="nil"/>
              <w:left w:val="nil"/>
              <w:bottom w:val="single" w:sz="4" w:space="0" w:color="auto"/>
              <w:right w:val="single" w:sz="4" w:space="0" w:color="auto"/>
            </w:tcBorders>
            <w:shd w:val="clear" w:color="000000" w:fill="FFFFFF"/>
          </w:tcPr>
          <w:p w:rsidR="002B2BE0" w:rsidRPr="002B2BE0" w:rsidRDefault="002B2BE0" w:rsidP="002B2BE0">
            <w:pPr>
              <w:rPr>
                <w:sz w:val="18"/>
                <w:szCs w:val="18"/>
              </w:rPr>
            </w:pPr>
            <w:r w:rsidRPr="002B2BE0">
              <w:rPr>
                <w:sz w:val="18"/>
                <w:szCs w:val="18"/>
              </w:rPr>
              <w:t xml:space="preserve">Закупка вследствие признания несостоявшимся электронного аукциона </w:t>
            </w:r>
          </w:p>
        </w:tc>
        <w:tc>
          <w:tcPr>
            <w:tcW w:w="709" w:type="dxa"/>
            <w:tcBorders>
              <w:top w:val="nil"/>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1</w:t>
            </w:r>
          </w:p>
        </w:tc>
        <w:tc>
          <w:tcPr>
            <w:tcW w:w="1276" w:type="dxa"/>
            <w:tcBorders>
              <w:top w:val="nil"/>
              <w:left w:val="nil"/>
              <w:bottom w:val="single" w:sz="4" w:space="0" w:color="auto"/>
              <w:right w:val="single" w:sz="4" w:space="0" w:color="auto"/>
            </w:tcBorders>
            <w:shd w:val="clear" w:color="auto" w:fill="auto"/>
            <w:noWrap/>
          </w:tcPr>
          <w:p w:rsidR="002B2BE0" w:rsidRPr="002B2BE0" w:rsidRDefault="002B2BE0" w:rsidP="002B2BE0">
            <w:pPr>
              <w:jc w:val="center"/>
              <w:rPr>
                <w:sz w:val="18"/>
                <w:szCs w:val="18"/>
              </w:rPr>
            </w:pPr>
            <w:r w:rsidRPr="002B2BE0">
              <w:rPr>
                <w:sz w:val="18"/>
                <w:szCs w:val="18"/>
              </w:rPr>
              <w:t>1 351 557,54</w:t>
            </w:r>
          </w:p>
        </w:tc>
        <w:tc>
          <w:tcPr>
            <w:tcW w:w="1275" w:type="dxa"/>
            <w:tcBorders>
              <w:top w:val="nil"/>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1 351 557,54</w:t>
            </w:r>
          </w:p>
        </w:tc>
        <w:tc>
          <w:tcPr>
            <w:tcW w:w="993" w:type="dxa"/>
            <w:tcBorders>
              <w:top w:val="nil"/>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w:t>
            </w:r>
          </w:p>
        </w:tc>
        <w:tc>
          <w:tcPr>
            <w:tcW w:w="708" w:type="dxa"/>
            <w:tcBorders>
              <w:top w:val="nil"/>
              <w:left w:val="nil"/>
              <w:bottom w:val="single" w:sz="4" w:space="0" w:color="auto"/>
              <w:right w:val="single" w:sz="4" w:space="0" w:color="auto"/>
            </w:tcBorders>
            <w:shd w:val="clear" w:color="auto" w:fill="auto"/>
          </w:tcPr>
          <w:p w:rsidR="002B2BE0" w:rsidRPr="002B2BE0" w:rsidRDefault="002B2BE0" w:rsidP="002B2BE0">
            <w:pPr>
              <w:jc w:val="center"/>
              <w:rPr>
                <w:sz w:val="18"/>
                <w:szCs w:val="18"/>
              </w:rPr>
            </w:pPr>
            <w:r w:rsidRPr="002B2BE0">
              <w:rPr>
                <w:sz w:val="18"/>
                <w:szCs w:val="18"/>
              </w:rPr>
              <w:t>-</w:t>
            </w:r>
          </w:p>
        </w:tc>
        <w:tc>
          <w:tcPr>
            <w:tcW w:w="791" w:type="dxa"/>
            <w:tcBorders>
              <w:top w:val="nil"/>
              <w:left w:val="nil"/>
              <w:bottom w:val="single" w:sz="4" w:space="0" w:color="auto"/>
              <w:right w:val="single" w:sz="4" w:space="0" w:color="auto"/>
            </w:tcBorders>
          </w:tcPr>
          <w:p w:rsidR="002B2BE0" w:rsidRPr="002B2BE0" w:rsidRDefault="002B2BE0" w:rsidP="002B2BE0">
            <w:pPr>
              <w:jc w:val="center"/>
              <w:rPr>
                <w:sz w:val="18"/>
                <w:szCs w:val="18"/>
              </w:rPr>
            </w:pPr>
            <w:r w:rsidRPr="002B2BE0">
              <w:rPr>
                <w:sz w:val="18"/>
                <w:szCs w:val="18"/>
              </w:rPr>
              <w:t>Исполнен</w:t>
            </w:r>
          </w:p>
        </w:tc>
      </w:tr>
      <w:tr w:rsidR="002B2BE0" w:rsidRPr="002B2BE0" w:rsidTr="00971736">
        <w:trPr>
          <w:trHeight w:val="587"/>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2B2BE0" w:rsidRPr="002B2BE0" w:rsidRDefault="002B2BE0" w:rsidP="002B2BE0">
            <w:pPr>
              <w:jc w:val="both"/>
              <w:rPr>
                <w:sz w:val="18"/>
                <w:szCs w:val="18"/>
              </w:rPr>
            </w:pPr>
            <w:r w:rsidRPr="002B2BE0">
              <w:rPr>
                <w:sz w:val="18"/>
                <w:szCs w:val="18"/>
              </w:rPr>
              <w:t>Обустройство пикниковой зоны</w:t>
            </w:r>
          </w:p>
        </w:tc>
        <w:tc>
          <w:tcPr>
            <w:tcW w:w="1560"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rPr>
                <w:sz w:val="18"/>
                <w:szCs w:val="18"/>
              </w:rPr>
            </w:pPr>
            <w:r w:rsidRPr="002B2BE0">
              <w:rPr>
                <w:sz w:val="18"/>
                <w:szCs w:val="18"/>
              </w:rPr>
              <w:t>№0848600074924000075 от 27.05.2024 года</w:t>
            </w:r>
          </w:p>
        </w:tc>
        <w:tc>
          <w:tcPr>
            <w:tcW w:w="1417"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rPr>
                <w:sz w:val="18"/>
                <w:szCs w:val="18"/>
              </w:rPr>
            </w:pPr>
            <w:r w:rsidRPr="002B2BE0">
              <w:rPr>
                <w:sz w:val="18"/>
                <w:szCs w:val="18"/>
              </w:rPr>
              <w:t>Электронный аукцион</w:t>
            </w:r>
          </w:p>
        </w:tc>
        <w:tc>
          <w:tcPr>
            <w:tcW w:w="709"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2</w:t>
            </w:r>
          </w:p>
        </w:tc>
        <w:tc>
          <w:tcPr>
            <w:tcW w:w="1276" w:type="dxa"/>
            <w:tcBorders>
              <w:top w:val="single" w:sz="4" w:space="0" w:color="auto"/>
              <w:left w:val="nil"/>
              <w:bottom w:val="single" w:sz="4" w:space="0" w:color="auto"/>
              <w:right w:val="single" w:sz="4" w:space="0" w:color="auto"/>
            </w:tcBorders>
            <w:shd w:val="clear" w:color="auto" w:fill="auto"/>
            <w:noWrap/>
          </w:tcPr>
          <w:p w:rsidR="002B2BE0" w:rsidRPr="002B2BE0" w:rsidRDefault="002B2BE0" w:rsidP="002B2BE0">
            <w:pPr>
              <w:jc w:val="center"/>
              <w:rPr>
                <w:sz w:val="18"/>
                <w:szCs w:val="18"/>
              </w:rPr>
            </w:pPr>
            <w:r w:rsidRPr="002B2BE0">
              <w:rPr>
                <w:sz w:val="18"/>
                <w:szCs w:val="18"/>
              </w:rPr>
              <w:t>1 816 681,03</w:t>
            </w:r>
          </w:p>
        </w:tc>
        <w:tc>
          <w:tcPr>
            <w:tcW w:w="1275"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 xml:space="preserve">1 635 012,83  </w:t>
            </w:r>
          </w:p>
        </w:tc>
        <w:tc>
          <w:tcPr>
            <w:tcW w:w="993"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181 668,2</w:t>
            </w:r>
          </w:p>
        </w:tc>
        <w:tc>
          <w:tcPr>
            <w:tcW w:w="708" w:type="dxa"/>
            <w:tcBorders>
              <w:top w:val="single" w:sz="4" w:space="0" w:color="auto"/>
              <w:left w:val="nil"/>
              <w:bottom w:val="single" w:sz="4" w:space="0" w:color="auto"/>
              <w:right w:val="single" w:sz="4" w:space="0" w:color="auto"/>
            </w:tcBorders>
            <w:shd w:val="clear" w:color="auto" w:fill="auto"/>
          </w:tcPr>
          <w:p w:rsidR="002B2BE0" w:rsidRPr="002B2BE0" w:rsidRDefault="002B2BE0" w:rsidP="002B2BE0">
            <w:pPr>
              <w:jc w:val="center"/>
              <w:rPr>
                <w:sz w:val="18"/>
                <w:szCs w:val="18"/>
              </w:rPr>
            </w:pPr>
            <w:r w:rsidRPr="002B2BE0">
              <w:rPr>
                <w:sz w:val="18"/>
                <w:szCs w:val="18"/>
              </w:rPr>
              <w:t>10,0</w:t>
            </w:r>
          </w:p>
        </w:tc>
        <w:tc>
          <w:tcPr>
            <w:tcW w:w="791" w:type="dxa"/>
            <w:tcBorders>
              <w:top w:val="single" w:sz="4" w:space="0" w:color="auto"/>
              <w:left w:val="nil"/>
              <w:bottom w:val="single" w:sz="4" w:space="0" w:color="auto"/>
              <w:right w:val="single" w:sz="4" w:space="0" w:color="auto"/>
            </w:tcBorders>
          </w:tcPr>
          <w:p w:rsidR="002B2BE0" w:rsidRPr="002B2BE0" w:rsidRDefault="002B2BE0" w:rsidP="002B2BE0">
            <w:pPr>
              <w:jc w:val="center"/>
              <w:rPr>
                <w:sz w:val="18"/>
                <w:szCs w:val="18"/>
              </w:rPr>
            </w:pPr>
            <w:r w:rsidRPr="002B2BE0">
              <w:rPr>
                <w:sz w:val="18"/>
                <w:szCs w:val="18"/>
              </w:rPr>
              <w:t>Исполнен</w:t>
            </w:r>
          </w:p>
        </w:tc>
      </w:tr>
      <w:tr w:rsidR="002B2BE0" w:rsidRPr="002B2BE0" w:rsidTr="00971736">
        <w:trPr>
          <w:trHeight w:val="1190"/>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2B2BE0" w:rsidRPr="002B2BE0" w:rsidRDefault="002B2BE0" w:rsidP="002B2BE0">
            <w:pPr>
              <w:spacing w:after="200" w:line="276" w:lineRule="auto"/>
              <w:rPr>
                <w:sz w:val="18"/>
                <w:szCs w:val="18"/>
              </w:rPr>
            </w:pPr>
            <w:r w:rsidRPr="002B2BE0">
              <w:rPr>
                <w:sz w:val="18"/>
                <w:szCs w:val="18"/>
              </w:rPr>
              <w:t>Выполнение работ по текущему ремонту Асфальтирование дорожек</w:t>
            </w:r>
          </w:p>
        </w:tc>
        <w:tc>
          <w:tcPr>
            <w:tcW w:w="1560"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rPr>
                <w:sz w:val="18"/>
                <w:szCs w:val="18"/>
              </w:rPr>
            </w:pPr>
            <w:r w:rsidRPr="002B2BE0">
              <w:rPr>
                <w:sz w:val="18"/>
                <w:szCs w:val="18"/>
              </w:rPr>
              <w:t>№0848600074924000076 от 27.05.2024 года</w:t>
            </w:r>
          </w:p>
        </w:tc>
        <w:tc>
          <w:tcPr>
            <w:tcW w:w="1417"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rPr>
                <w:sz w:val="18"/>
                <w:szCs w:val="18"/>
              </w:rPr>
            </w:pPr>
            <w:r w:rsidRPr="002B2BE0">
              <w:rPr>
                <w:sz w:val="18"/>
                <w:szCs w:val="18"/>
              </w:rPr>
              <w:t>Электронный аукцион</w:t>
            </w:r>
          </w:p>
        </w:tc>
        <w:tc>
          <w:tcPr>
            <w:tcW w:w="709"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2</w:t>
            </w:r>
          </w:p>
        </w:tc>
        <w:tc>
          <w:tcPr>
            <w:tcW w:w="1276" w:type="dxa"/>
            <w:tcBorders>
              <w:top w:val="single" w:sz="4" w:space="0" w:color="auto"/>
              <w:left w:val="nil"/>
              <w:bottom w:val="single" w:sz="4" w:space="0" w:color="auto"/>
              <w:right w:val="single" w:sz="4" w:space="0" w:color="auto"/>
            </w:tcBorders>
            <w:shd w:val="clear" w:color="auto" w:fill="auto"/>
            <w:noWrap/>
          </w:tcPr>
          <w:p w:rsidR="002B2BE0" w:rsidRPr="002B2BE0" w:rsidRDefault="002B2BE0" w:rsidP="002B2BE0">
            <w:pPr>
              <w:jc w:val="center"/>
              <w:rPr>
                <w:sz w:val="18"/>
                <w:szCs w:val="18"/>
              </w:rPr>
            </w:pPr>
            <w:r w:rsidRPr="002B2BE0">
              <w:rPr>
                <w:sz w:val="18"/>
                <w:szCs w:val="18"/>
              </w:rPr>
              <w:t>750 337,86</w:t>
            </w:r>
          </w:p>
        </w:tc>
        <w:tc>
          <w:tcPr>
            <w:tcW w:w="1275"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550001,67</w:t>
            </w:r>
          </w:p>
        </w:tc>
        <w:tc>
          <w:tcPr>
            <w:tcW w:w="993"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200336,19</w:t>
            </w:r>
          </w:p>
        </w:tc>
        <w:tc>
          <w:tcPr>
            <w:tcW w:w="708" w:type="dxa"/>
            <w:tcBorders>
              <w:top w:val="single" w:sz="4" w:space="0" w:color="auto"/>
              <w:left w:val="nil"/>
              <w:bottom w:val="single" w:sz="4" w:space="0" w:color="auto"/>
              <w:right w:val="single" w:sz="4" w:space="0" w:color="auto"/>
            </w:tcBorders>
            <w:shd w:val="clear" w:color="auto" w:fill="auto"/>
          </w:tcPr>
          <w:p w:rsidR="002B2BE0" w:rsidRPr="002B2BE0" w:rsidRDefault="002B2BE0" w:rsidP="002B2BE0">
            <w:pPr>
              <w:jc w:val="center"/>
              <w:rPr>
                <w:sz w:val="18"/>
                <w:szCs w:val="18"/>
              </w:rPr>
            </w:pPr>
            <w:r w:rsidRPr="002B2BE0">
              <w:rPr>
                <w:sz w:val="18"/>
                <w:szCs w:val="18"/>
              </w:rPr>
              <w:t>26,7</w:t>
            </w:r>
          </w:p>
        </w:tc>
        <w:tc>
          <w:tcPr>
            <w:tcW w:w="791" w:type="dxa"/>
            <w:tcBorders>
              <w:top w:val="single" w:sz="4" w:space="0" w:color="auto"/>
              <w:left w:val="nil"/>
              <w:bottom w:val="single" w:sz="4" w:space="0" w:color="auto"/>
              <w:right w:val="single" w:sz="4" w:space="0" w:color="auto"/>
            </w:tcBorders>
          </w:tcPr>
          <w:p w:rsidR="002B2BE0" w:rsidRPr="002B2BE0" w:rsidRDefault="002B2BE0" w:rsidP="002B2BE0">
            <w:pPr>
              <w:jc w:val="center"/>
              <w:rPr>
                <w:sz w:val="18"/>
                <w:szCs w:val="18"/>
              </w:rPr>
            </w:pPr>
            <w:r w:rsidRPr="002B2BE0">
              <w:rPr>
                <w:sz w:val="18"/>
                <w:szCs w:val="18"/>
              </w:rPr>
              <w:t>Исполнен</w:t>
            </w:r>
          </w:p>
        </w:tc>
      </w:tr>
      <w:tr w:rsidR="002B2BE0" w:rsidRPr="002B2BE0" w:rsidTr="00971736">
        <w:trPr>
          <w:trHeight w:val="666"/>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2B2BE0" w:rsidRPr="002B2BE0" w:rsidRDefault="002B2BE0" w:rsidP="002B2BE0">
            <w:pPr>
              <w:spacing w:after="200" w:line="276" w:lineRule="auto"/>
              <w:rPr>
                <w:sz w:val="18"/>
                <w:szCs w:val="18"/>
              </w:rPr>
            </w:pPr>
            <w:r w:rsidRPr="002B2BE0">
              <w:rPr>
                <w:sz w:val="18"/>
                <w:szCs w:val="18"/>
              </w:rPr>
              <w:t>Устройство входной группы</w:t>
            </w:r>
          </w:p>
        </w:tc>
        <w:tc>
          <w:tcPr>
            <w:tcW w:w="1560"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rPr>
                <w:sz w:val="18"/>
                <w:szCs w:val="18"/>
              </w:rPr>
            </w:pPr>
            <w:r w:rsidRPr="002B2BE0">
              <w:rPr>
                <w:sz w:val="18"/>
                <w:szCs w:val="18"/>
              </w:rPr>
              <w:t>№0848600074924000074 от 05.06.2024 года</w:t>
            </w:r>
          </w:p>
        </w:tc>
        <w:tc>
          <w:tcPr>
            <w:tcW w:w="1417"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rPr>
                <w:sz w:val="18"/>
                <w:szCs w:val="18"/>
              </w:rPr>
            </w:pPr>
            <w:r w:rsidRPr="002B2BE0">
              <w:rPr>
                <w:sz w:val="18"/>
                <w:szCs w:val="18"/>
              </w:rPr>
              <w:t>Электронный аукцион</w:t>
            </w:r>
          </w:p>
        </w:tc>
        <w:tc>
          <w:tcPr>
            <w:tcW w:w="709"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3</w:t>
            </w:r>
          </w:p>
        </w:tc>
        <w:tc>
          <w:tcPr>
            <w:tcW w:w="1276" w:type="dxa"/>
            <w:tcBorders>
              <w:top w:val="single" w:sz="4" w:space="0" w:color="auto"/>
              <w:left w:val="nil"/>
              <w:bottom w:val="single" w:sz="4" w:space="0" w:color="auto"/>
              <w:right w:val="single" w:sz="4" w:space="0" w:color="auto"/>
            </w:tcBorders>
            <w:shd w:val="clear" w:color="auto" w:fill="auto"/>
            <w:noWrap/>
          </w:tcPr>
          <w:p w:rsidR="002B2BE0" w:rsidRPr="002B2BE0" w:rsidRDefault="002B2BE0" w:rsidP="002B2BE0">
            <w:pPr>
              <w:jc w:val="center"/>
              <w:rPr>
                <w:sz w:val="18"/>
                <w:szCs w:val="18"/>
              </w:rPr>
            </w:pPr>
            <w:r w:rsidRPr="002B2BE0">
              <w:rPr>
                <w:sz w:val="18"/>
                <w:szCs w:val="18"/>
              </w:rPr>
              <w:t>3 353 671,93</w:t>
            </w:r>
          </w:p>
        </w:tc>
        <w:tc>
          <w:tcPr>
            <w:tcW w:w="1275"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 xml:space="preserve">2 703 365,92  </w:t>
            </w:r>
          </w:p>
        </w:tc>
        <w:tc>
          <w:tcPr>
            <w:tcW w:w="993"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650306,01</w:t>
            </w:r>
          </w:p>
        </w:tc>
        <w:tc>
          <w:tcPr>
            <w:tcW w:w="708" w:type="dxa"/>
            <w:tcBorders>
              <w:top w:val="single" w:sz="4" w:space="0" w:color="auto"/>
              <w:left w:val="nil"/>
              <w:bottom w:val="single" w:sz="4" w:space="0" w:color="auto"/>
              <w:right w:val="single" w:sz="4" w:space="0" w:color="auto"/>
            </w:tcBorders>
            <w:shd w:val="clear" w:color="auto" w:fill="auto"/>
          </w:tcPr>
          <w:p w:rsidR="002B2BE0" w:rsidRPr="002B2BE0" w:rsidRDefault="002B2BE0" w:rsidP="002B2BE0">
            <w:pPr>
              <w:jc w:val="center"/>
              <w:rPr>
                <w:sz w:val="18"/>
                <w:szCs w:val="18"/>
              </w:rPr>
            </w:pPr>
            <w:r w:rsidRPr="002B2BE0">
              <w:rPr>
                <w:sz w:val="18"/>
                <w:szCs w:val="18"/>
              </w:rPr>
              <w:t>19,4</w:t>
            </w:r>
          </w:p>
        </w:tc>
        <w:tc>
          <w:tcPr>
            <w:tcW w:w="791" w:type="dxa"/>
            <w:tcBorders>
              <w:top w:val="single" w:sz="4" w:space="0" w:color="auto"/>
              <w:left w:val="nil"/>
              <w:bottom w:val="single" w:sz="4" w:space="0" w:color="auto"/>
              <w:right w:val="single" w:sz="4" w:space="0" w:color="auto"/>
            </w:tcBorders>
          </w:tcPr>
          <w:p w:rsidR="002B2BE0" w:rsidRPr="002B2BE0" w:rsidRDefault="002B2BE0" w:rsidP="002B2BE0">
            <w:pPr>
              <w:jc w:val="center"/>
              <w:rPr>
                <w:sz w:val="18"/>
                <w:szCs w:val="18"/>
              </w:rPr>
            </w:pPr>
            <w:r w:rsidRPr="002B2BE0">
              <w:rPr>
                <w:sz w:val="18"/>
                <w:szCs w:val="18"/>
              </w:rPr>
              <w:t>Расторгнут</w:t>
            </w:r>
          </w:p>
        </w:tc>
      </w:tr>
      <w:tr w:rsidR="002B2BE0" w:rsidRPr="002B2BE0" w:rsidTr="00971736">
        <w:trPr>
          <w:trHeight w:val="666"/>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2B2BE0" w:rsidRPr="002B2BE0" w:rsidRDefault="002B2BE0" w:rsidP="002B2BE0">
            <w:pPr>
              <w:spacing w:after="200" w:line="276" w:lineRule="auto"/>
              <w:rPr>
                <w:sz w:val="18"/>
                <w:szCs w:val="18"/>
              </w:rPr>
            </w:pPr>
            <w:r w:rsidRPr="002B2BE0">
              <w:rPr>
                <w:sz w:val="18"/>
                <w:szCs w:val="18"/>
              </w:rPr>
              <w:t>Устройство входной группы</w:t>
            </w:r>
          </w:p>
        </w:tc>
        <w:tc>
          <w:tcPr>
            <w:tcW w:w="1560"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rPr>
                <w:sz w:val="18"/>
                <w:szCs w:val="18"/>
              </w:rPr>
            </w:pPr>
            <w:r w:rsidRPr="002B2BE0">
              <w:rPr>
                <w:sz w:val="18"/>
                <w:szCs w:val="18"/>
              </w:rPr>
              <w:t>№0848600074924000110 от 13.08.2024 года</w:t>
            </w:r>
          </w:p>
        </w:tc>
        <w:tc>
          <w:tcPr>
            <w:tcW w:w="1417"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rPr>
                <w:sz w:val="18"/>
                <w:szCs w:val="18"/>
              </w:rPr>
            </w:pPr>
            <w:r w:rsidRPr="002B2BE0">
              <w:rPr>
                <w:sz w:val="18"/>
                <w:szCs w:val="18"/>
              </w:rPr>
              <w:t>Закупка вследствие признания несостоявшимся электронного аукциона</w:t>
            </w:r>
          </w:p>
        </w:tc>
        <w:tc>
          <w:tcPr>
            <w:tcW w:w="709"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1</w:t>
            </w:r>
          </w:p>
        </w:tc>
        <w:tc>
          <w:tcPr>
            <w:tcW w:w="1276" w:type="dxa"/>
            <w:tcBorders>
              <w:top w:val="single" w:sz="4" w:space="0" w:color="auto"/>
              <w:left w:val="nil"/>
              <w:bottom w:val="single" w:sz="4" w:space="0" w:color="auto"/>
              <w:right w:val="single" w:sz="4" w:space="0" w:color="auto"/>
            </w:tcBorders>
            <w:shd w:val="clear" w:color="auto" w:fill="auto"/>
            <w:noWrap/>
          </w:tcPr>
          <w:p w:rsidR="002B2BE0" w:rsidRPr="002B2BE0" w:rsidRDefault="002B2BE0" w:rsidP="002B2BE0">
            <w:pPr>
              <w:jc w:val="center"/>
              <w:rPr>
                <w:sz w:val="18"/>
                <w:szCs w:val="18"/>
              </w:rPr>
            </w:pPr>
            <w:r w:rsidRPr="002B2BE0">
              <w:rPr>
                <w:sz w:val="18"/>
                <w:szCs w:val="18"/>
              </w:rPr>
              <w:t xml:space="preserve">3 353 671,93  </w:t>
            </w:r>
          </w:p>
        </w:tc>
        <w:tc>
          <w:tcPr>
            <w:tcW w:w="1275"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 xml:space="preserve">3 353 671,93  </w:t>
            </w:r>
          </w:p>
        </w:tc>
        <w:tc>
          <w:tcPr>
            <w:tcW w:w="993"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2B2BE0" w:rsidRPr="002B2BE0" w:rsidRDefault="002B2BE0" w:rsidP="002B2BE0">
            <w:pPr>
              <w:jc w:val="center"/>
              <w:rPr>
                <w:sz w:val="18"/>
                <w:szCs w:val="18"/>
              </w:rPr>
            </w:pPr>
            <w:r w:rsidRPr="002B2BE0">
              <w:rPr>
                <w:sz w:val="18"/>
                <w:szCs w:val="18"/>
              </w:rPr>
              <w:t>-</w:t>
            </w:r>
          </w:p>
        </w:tc>
        <w:tc>
          <w:tcPr>
            <w:tcW w:w="791" w:type="dxa"/>
            <w:tcBorders>
              <w:top w:val="single" w:sz="4" w:space="0" w:color="auto"/>
              <w:left w:val="nil"/>
              <w:bottom w:val="single" w:sz="4" w:space="0" w:color="auto"/>
              <w:right w:val="single" w:sz="4" w:space="0" w:color="auto"/>
            </w:tcBorders>
          </w:tcPr>
          <w:p w:rsidR="002B2BE0" w:rsidRPr="002B2BE0" w:rsidRDefault="002B2BE0" w:rsidP="002B2BE0">
            <w:pPr>
              <w:jc w:val="center"/>
              <w:rPr>
                <w:sz w:val="18"/>
                <w:szCs w:val="18"/>
              </w:rPr>
            </w:pPr>
            <w:r w:rsidRPr="002B2BE0">
              <w:rPr>
                <w:sz w:val="18"/>
                <w:szCs w:val="18"/>
              </w:rPr>
              <w:t>Расторгнут</w:t>
            </w:r>
          </w:p>
        </w:tc>
      </w:tr>
      <w:tr w:rsidR="002B2BE0" w:rsidRPr="002B2BE0" w:rsidTr="00971736">
        <w:trPr>
          <w:trHeight w:val="666"/>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2B2BE0" w:rsidRPr="002B2BE0" w:rsidRDefault="002B2BE0" w:rsidP="002B2BE0">
            <w:pPr>
              <w:spacing w:after="200" w:line="276" w:lineRule="auto"/>
              <w:rPr>
                <w:sz w:val="18"/>
                <w:szCs w:val="18"/>
              </w:rPr>
            </w:pPr>
            <w:r w:rsidRPr="002B2BE0">
              <w:rPr>
                <w:sz w:val="18"/>
                <w:szCs w:val="18"/>
              </w:rPr>
              <w:t>Приобретение купольной сцены</w:t>
            </w:r>
          </w:p>
        </w:tc>
        <w:tc>
          <w:tcPr>
            <w:tcW w:w="1560"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rPr>
                <w:sz w:val="18"/>
                <w:szCs w:val="18"/>
              </w:rPr>
            </w:pPr>
            <w:r w:rsidRPr="002B2BE0">
              <w:rPr>
                <w:sz w:val="18"/>
                <w:szCs w:val="18"/>
              </w:rPr>
              <w:t>№ 0848600074924000149 от 16.10.2024 года</w:t>
            </w:r>
          </w:p>
        </w:tc>
        <w:tc>
          <w:tcPr>
            <w:tcW w:w="1417"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rPr>
                <w:sz w:val="18"/>
                <w:szCs w:val="18"/>
              </w:rPr>
            </w:pPr>
            <w:r w:rsidRPr="002B2BE0">
              <w:rPr>
                <w:sz w:val="18"/>
                <w:szCs w:val="18"/>
              </w:rPr>
              <w:t>Закупка вследствие признания несостоявшимся электронного аукциона</w:t>
            </w:r>
          </w:p>
        </w:tc>
        <w:tc>
          <w:tcPr>
            <w:tcW w:w="709"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1</w:t>
            </w:r>
          </w:p>
        </w:tc>
        <w:tc>
          <w:tcPr>
            <w:tcW w:w="1276" w:type="dxa"/>
            <w:tcBorders>
              <w:top w:val="single" w:sz="4" w:space="0" w:color="auto"/>
              <w:left w:val="nil"/>
              <w:bottom w:val="single" w:sz="4" w:space="0" w:color="auto"/>
              <w:right w:val="single" w:sz="4" w:space="0" w:color="auto"/>
            </w:tcBorders>
            <w:shd w:val="clear" w:color="auto" w:fill="auto"/>
            <w:noWrap/>
          </w:tcPr>
          <w:p w:rsidR="002B2BE0" w:rsidRPr="002B2BE0" w:rsidRDefault="002B2BE0" w:rsidP="002B2BE0">
            <w:pPr>
              <w:jc w:val="center"/>
              <w:rPr>
                <w:sz w:val="18"/>
                <w:szCs w:val="18"/>
              </w:rPr>
            </w:pPr>
            <w:r w:rsidRPr="002B2BE0">
              <w:rPr>
                <w:sz w:val="18"/>
                <w:szCs w:val="18"/>
              </w:rPr>
              <w:t>2 700 000,00</w:t>
            </w:r>
          </w:p>
        </w:tc>
        <w:tc>
          <w:tcPr>
            <w:tcW w:w="1275"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2 700 000,00</w:t>
            </w:r>
          </w:p>
        </w:tc>
        <w:tc>
          <w:tcPr>
            <w:tcW w:w="993"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2B2BE0" w:rsidRPr="002B2BE0" w:rsidRDefault="002B2BE0" w:rsidP="002B2BE0">
            <w:pPr>
              <w:jc w:val="center"/>
              <w:rPr>
                <w:sz w:val="18"/>
                <w:szCs w:val="18"/>
              </w:rPr>
            </w:pPr>
            <w:r w:rsidRPr="002B2BE0">
              <w:rPr>
                <w:sz w:val="18"/>
                <w:szCs w:val="18"/>
              </w:rPr>
              <w:t>-</w:t>
            </w:r>
          </w:p>
        </w:tc>
        <w:tc>
          <w:tcPr>
            <w:tcW w:w="791" w:type="dxa"/>
            <w:tcBorders>
              <w:top w:val="single" w:sz="4" w:space="0" w:color="auto"/>
              <w:left w:val="nil"/>
              <w:bottom w:val="single" w:sz="4" w:space="0" w:color="auto"/>
              <w:right w:val="single" w:sz="4" w:space="0" w:color="auto"/>
            </w:tcBorders>
          </w:tcPr>
          <w:p w:rsidR="002B2BE0" w:rsidRPr="002B2BE0" w:rsidRDefault="002B2BE0" w:rsidP="002B2BE0">
            <w:pPr>
              <w:jc w:val="center"/>
              <w:rPr>
                <w:sz w:val="18"/>
                <w:szCs w:val="18"/>
              </w:rPr>
            </w:pPr>
            <w:r w:rsidRPr="002B2BE0">
              <w:rPr>
                <w:sz w:val="18"/>
                <w:szCs w:val="18"/>
              </w:rPr>
              <w:t>Исполнен</w:t>
            </w:r>
          </w:p>
        </w:tc>
      </w:tr>
      <w:tr w:rsidR="002B2BE0" w:rsidRPr="002B2BE0" w:rsidTr="00971736">
        <w:trPr>
          <w:trHeight w:val="266"/>
        </w:trPr>
        <w:tc>
          <w:tcPr>
            <w:tcW w:w="1701" w:type="dxa"/>
            <w:tcBorders>
              <w:top w:val="single" w:sz="4" w:space="0" w:color="auto"/>
              <w:left w:val="single" w:sz="4" w:space="0" w:color="auto"/>
              <w:bottom w:val="single" w:sz="4" w:space="0" w:color="auto"/>
              <w:right w:val="single" w:sz="4" w:space="0" w:color="auto"/>
            </w:tcBorders>
            <w:shd w:val="clear" w:color="000000" w:fill="FFFFFF"/>
          </w:tcPr>
          <w:p w:rsidR="002B2BE0" w:rsidRPr="002B2BE0" w:rsidRDefault="002B2BE0" w:rsidP="002B2BE0">
            <w:pPr>
              <w:spacing w:after="200" w:line="276" w:lineRule="auto"/>
              <w:rPr>
                <w:sz w:val="18"/>
                <w:szCs w:val="18"/>
              </w:rPr>
            </w:pPr>
          </w:p>
        </w:tc>
        <w:tc>
          <w:tcPr>
            <w:tcW w:w="1560"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rPr>
                <w:sz w:val="18"/>
                <w:szCs w:val="18"/>
              </w:rPr>
            </w:pPr>
          </w:p>
        </w:tc>
        <w:tc>
          <w:tcPr>
            <w:tcW w:w="1417"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rPr>
                <w:sz w:val="18"/>
                <w:szCs w:val="18"/>
              </w:rPr>
            </w:pPr>
          </w:p>
        </w:tc>
        <w:tc>
          <w:tcPr>
            <w:tcW w:w="709"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tcPr>
          <w:p w:rsidR="002B2BE0" w:rsidRPr="002B2BE0" w:rsidRDefault="002B2BE0" w:rsidP="002B2BE0">
            <w:pPr>
              <w:jc w:val="center"/>
              <w:rPr>
                <w:sz w:val="18"/>
                <w:szCs w:val="18"/>
              </w:rPr>
            </w:pPr>
            <w:r w:rsidRPr="002B2BE0">
              <w:rPr>
                <w:sz w:val="18"/>
                <w:szCs w:val="18"/>
              </w:rPr>
              <w:t>13 325 920,29</w:t>
            </w:r>
          </w:p>
        </w:tc>
        <w:tc>
          <w:tcPr>
            <w:tcW w:w="1275"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12 293 609,89</w:t>
            </w:r>
          </w:p>
        </w:tc>
        <w:tc>
          <w:tcPr>
            <w:tcW w:w="993" w:type="dxa"/>
            <w:tcBorders>
              <w:top w:val="single" w:sz="4" w:space="0" w:color="auto"/>
              <w:left w:val="nil"/>
              <w:bottom w:val="single" w:sz="4" w:space="0" w:color="auto"/>
              <w:right w:val="single" w:sz="4" w:space="0" w:color="auto"/>
            </w:tcBorders>
            <w:shd w:val="clear" w:color="000000" w:fill="FFFFFF"/>
          </w:tcPr>
          <w:p w:rsidR="002B2BE0" w:rsidRPr="002B2BE0" w:rsidRDefault="002B2BE0" w:rsidP="002B2BE0">
            <w:pPr>
              <w:jc w:val="center"/>
              <w:rPr>
                <w:sz w:val="18"/>
                <w:szCs w:val="18"/>
              </w:rPr>
            </w:pPr>
            <w:r w:rsidRPr="002B2BE0">
              <w:rPr>
                <w:sz w:val="18"/>
                <w:szCs w:val="18"/>
              </w:rPr>
              <w:t>1032310,4</w:t>
            </w:r>
          </w:p>
        </w:tc>
        <w:tc>
          <w:tcPr>
            <w:tcW w:w="708" w:type="dxa"/>
            <w:tcBorders>
              <w:top w:val="single" w:sz="4" w:space="0" w:color="auto"/>
              <w:left w:val="nil"/>
              <w:bottom w:val="single" w:sz="4" w:space="0" w:color="auto"/>
              <w:right w:val="single" w:sz="4" w:space="0" w:color="auto"/>
            </w:tcBorders>
            <w:shd w:val="clear" w:color="auto" w:fill="auto"/>
          </w:tcPr>
          <w:p w:rsidR="002B2BE0" w:rsidRPr="002B2BE0" w:rsidRDefault="002B2BE0" w:rsidP="002B2BE0">
            <w:pPr>
              <w:jc w:val="center"/>
              <w:rPr>
                <w:sz w:val="18"/>
                <w:szCs w:val="18"/>
              </w:rPr>
            </w:pPr>
            <w:r w:rsidRPr="002B2BE0">
              <w:rPr>
                <w:sz w:val="18"/>
                <w:szCs w:val="18"/>
              </w:rPr>
              <w:t>7,7</w:t>
            </w:r>
          </w:p>
        </w:tc>
        <w:tc>
          <w:tcPr>
            <w:tcW w:w="791" w:type="dxa"/>
            <w:tcBorders>
              <w:top w:val="single" w:sz="4" w:space="0" w:color="auto"/>
              <w:left w:val="nil"/>
              <w:bottom w:val="single" w:sz="4" w:space="0" w:color="auto"/>
              <w:right w:val="single" w:sz="4" w:space="0" w:color="auto"/>
            </w:tcBorders>
          </w:tcPr>
          <w:p w:rsidR="002B2BE0" w:rsidRPr="002B2BE0" w:rsidRDefault="002B2BE0" w:rsidP="002B2BE0">
            <w:pPr>
              <w:jc w:val="center"/>
              <w:rPr>
                <w:sz w:val="18"/>
                <w:szCs w:val="18"/>
              </w:rPr>
            </w:pPr>
          </w:p>
        </w:tc>
      </w:tr>
    </w:tbl>
    <w:p w:rsidR="002B2BE0" w:rsidRPr="002B2BE0" w:rsidRDefault="002B2BE0" w:rsidP="002B2BE0">
      <w:pPr>
        <w:ind w:firstLine="709"/>
        <w:jc w:val="both"/>
        <w:rPr>
          <w:rFonts w:eastAsia="Calibri"/>
          <w:lang w:eastAsia="zh-CN"/>
        </w:rPr>
      </w:pPr>
    </w:p>
    <w:p w:rsidR="002B2BE0" w:rsidRPr="002B2BE0" w:rsidRDefault="002B2BE0" w:rsidP="002B2BE0">
      <w:pPr>
        <w:ind w:firstLine="709"/>
        <w:jc w:val="both"/>
        <w:rPr>
          <w:rFonts w:eastAsia="Calibri"/>
          <w:lang w:eastAsia="zh-CN"/>
        </w:rPr>
      </w:pPr>
    </w:p>
    <w:p w:rsidR="002B2BE0" w:rsidRPr="002B2BE0" w:rsidRDefault="002B2BE0" w:rsidP="002B2BE0">
      <w:pPr>
        <w:widowControl w:val="0"/>
        <w:ind w:firstLine="709"/>
        <w:jc w:val="both"/>
        <w:rPr>
          <w:i/>
          <w:sz w:val="28"/>
          <w:szCs w:val="28"/>
          <w:lang w:eastAsia="en-US"/>
        </w:rPr>
      </w:pPr>
      <w:r w:rsidRPr="002B2BE0">
        <w:rPr>
          <w:i/>
          <w:sz w:val="28"/>
          <w:szCs w:val="28"/>
          <w:lang w:eastAsia="en-US"/>
        </w:rPr>
        <w:t xml:space="preserve">Таким образом, средняя экономия по итогам проведения электронных аукционов в анализируемом периоде  составила 7,7%, что,  свидетельствует о наличии незначительной конкуренции при проведении закупочных процедур. </w:t>
      </w:r>
      <w:r w:rsidRPr="002B2BE0">
        <w:rPr>
          <w:i/>
          <w:sz w:val="28"/>
          <w:szCs w:val="28"/>
          <w:lang w:eastAsia="en-US"/>
        </w:rPr>
        <w:lastRenderedPageBreak/>
        <w:t>Оптимальное значение экономии, которую возможно получить, должно превышать 30%.</w:t>
      </w:r>
    </w:p>
    <w:p w:rsidR="002B2BE0" w:rsidRPr="002B2BE0" w:rsidRDefault="002B2BE0" w:rsidP="002B2BE0">
      <w:pPr>
        <w:widowControl w:val="0"/>
        <w:ind w:firstLine="709"/>
        <w:jc w:val="both"/>
        <w:rPr>
          <w:i/>
          <w:sz w:val="28"/>
          <w:szCs w:val="28"/>
          <w:lang w:eastAsia="en-US"/>
        </w:rPr>
      </w:pPr>
      <w:r w:rsidRPr="002B2BE0">
        <w:rPr>
          <w:i/>
          <w:sz w:val="28"/>
          <w:szCs w:val="28"/>
          <w:lang w:eastAsia="en-US"/>
        </w:rPr>
        <w:t>Из проведенной оценки показателей уровня конкуренции закупки товаров, работ, услуг очевиден относительно низкий показатель среднего количества участников проведенных электронных аукционов. При этом существенную долю закупок составляют закупки, в которых принял участие один участник.</w:t>
      </w:r>
    </w:p>
    <w:p w:rsidR="00892A51" w:rsidRPr="00892A51" w:rsidRDefault="00892A51" w:rsidP="00892A51">
      <w:pPr>
        <w:ind w:firstLine="709"/>
        <w:jc w:val="both"/>
        <w:rPr>
          <w:iCs/>
          <w:sz w:val="28"/>
          <w:szCs w:val="28"/>
        </w:rPr>
      </w:pPr>
      <w:r w:rsidRPr="00892A51">
        <w:rPr>
          <w:sz w:val="28"/>
          <w:szCs w:val="28"/>
          <w:lang w:eastAsia="en-US"/>
        </w:rPr>
        <w:t>Также по результатам</w:t>
      </w:r>
      <w:r w:rsidRPr="00892A51">
        <w:rPr>
          <w:iCs/>
          <w:sz w:val="28"/>
          <w:szCs w:val="28"/>
        </w:rPr>
        <w:t xml:space="preserve"> контрольного мероприятия выявлены следующие нарушения и недостатки:</w:t>
      </w:r>
    </w:p>
    <w:p w:rsidR="00892A51" w:rsidRPr="00892A51" w:rsidRDefault="00892A51" w:rsidP="00892A51">
      <w:pPr>
        <w:ind w:firstLine="709"/>
        <w:jc w:val="both"/>
        <w:rPr>
          <w:sz w:val="28"/>
          <w:szCs w:val="28"/>
        </w:rPr>
      </w:pPr>
      <w:r>
        <w:rPr>
          <w:sz w:val="28"/>
          <w:szCs w:val="28"/>
        </w:rPr>
        <w:t>1</w:t>
      </w:r>
      <w:r w:rsidRPr="00892A51">
        <w:rPr>
          <w:sz w:val="28"/>
          <w:szCs w:val="28"/>
        </w:rPr>
        <w:t>. В нарушение пункта 5 статьи 22 Закона №44-ФЗ заказчиком не формируются (не направляются) запросы поставщикам (подрядчикам, исполнителям), осуществляющим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w:t>
      </w:r>
    </w:p>
    <w:p w:rsidR="00892A51" w:rsidRPr="00892A51" w:rsidRDefault="00892A51" w:rsidP="00892A51">
      <w:pPr>
        <w:ind w:firstLine="709"/>
        <w:jc w:val="both"/>
        <w:rPr>
          <w:sz w:val="28"/>
          <w:szCs w:val="28"/>
        </w:rPr>
      </w:pPr>
      <w:r>
        <w:rPr>
          <w:sz w:val="28"/>
          <w:szCs w:val="28"/>
        </w:rPr>
        <w:t>2</w:t>
      </w:r>
      <w:r w:rsidRPr="00892A51">
        <w:rPr>
          <w:sz w:val="28"/>
          <w:szCs w:val="28"/>
        </w:rPr>
        <w:t>. В нарушение пункта 5 статьи 22 Закона №44-ФЗ при определении и обосновании НМЦК с применением метода сопоставимых рыночных цен (анализа рынка) использована информация о ценах товаров, работ, услуг, полученная от поставщиков (подрядчиков, исполнителей), не осуществляющих поставку идентичных и (или) однородных товаров, работ, услуг, планируемых к закупке (муниципальный контракт №1 от 18.01.2024 года «Закупка кормов для животных»).</w:t>
      </w:r>
    </w:p>
    <w:p w:rsidR="00892A51" w:rsidRPr="00892A51" w:rsidRDefault="00892A51" w:rsidP="00892A51">
      <w:pPr>
        <w:ind w:firstLine="709"/>
        <w:jc w:val="both"/>
        <w:rPr>
          <w:sz w:val="28"/>
          <w:szCs w:val="28"/>
        </w:rPr>
      </w:pPr>
      <w:r>
        <w:rPr>
          <w:sz w:val="28"/>
          <w:szCs w:val="28"/>
        </w:rPr>
        <w:t>3</w:t>
      </w:r>
      <w:r w:rsidRPr="00892A51">
        <w:rPr>
          <w:sz w:val="28"/>
          <w:szCs w:val="28"/>
        </w:rPr>
        <w:t>. В нарушение требований пункта 2 части 1 статьи 33 Федерального закона № 44-ФЗ МУ «ЛПКиО» при составлении описания объекта закупки «Корма для животных зоопарка» (муниципальные контракты №1 от 18.01.2024 года, №1/25 от 26.12.2024 года) не использовались документы национальной системы стандартизации (ГОСТы)  и при этом в описании отсутствует обоснование необходимости использования других показателей, требований, условных обозначений и терминологии.</w:t>
      </w:r>
    </w:p>
    <w:p w:rsidR="00892A51" w:rsidRPr="00892A51" w:rsidRDefault="00892A51" w:rsidP="00892A51">
      <w:pPr>
        <w:ind w:firstLine="709"/>
        <w:contextualSpacing/>
        <w:jc w:val="both"/>
        <w:rPr>
          <w:sz w:val="28"/>
          <w:szCs w:val="28"/>
        </w:rPr>
      </w:pPr>
      <w:r>
        <w:rPr>
          <w:sz w:val="28"/>
          <w:szCs w:val="28"/>
        </w:rPr>
        <w:t>4</w:t>
      </w:r>
      <w:r w:rsidRPr="00892A51">
        <w:rPr>
          <w:sz w:val="28"/>
          <w:szCs w:val="28"/>
        </w:rPr>
        <w:t>.  В ходе анализа контрактов, заключенных в результате конкурентных процедур, установлено, что Заказчиком в нарушение статьи 33 Закона о контрактной системе в описании объекта:</w:t>
      </w:r>
    </w:p>
    <w:p w:rsidR="00892A51" w:rsidRPr="00892A51" w:rsidRDefault="00892A51" w:rsidP="00892A51">
      <w:pPr>
        <w:ind w:firstLine="709"/>
        <w:contextualSpacing/>
        <w:jc w:val="both"/>
        <w:rPr>
          <w:sz w:val="28"/>
          <w:szCs w:val="28"/>
        </w:rPr>
      </w:pPr>
      <w:r w:rsidRPr="00892A51">
        <w:rPr>
          <w:sz w:val="28"/>
          <w:szCs w:val="28"/>
        </w:rPr>
        <w:t>- не определено к какому типу будут относиться выполняемые работы (строительство, капитальный ремонт, текущий ремонт, реконструкция);</w:t>
      </w:r>
    </w:p>
    <w:p w:rsidR="00892A51" w:rsidRPr="00892A51" w:rsidRDefault="00892A51" w:rsidP="00892A51">
      <w:pPr>
        <w:ind w:firstLine="709"/>
        <w:contextualSpacing/>
        <w:jc w:val="both"/>
        <w:rPr>
          <w:sz w:val="28"/>
          <w:szCs w:val="28"/>
        </w:rPr>
      </w:pPr>
      <w:r w:rsidRPr="00892A51">
        <w:rPr>
          <w:sz w:val="28"/>
          <w:szCs w:val="28"/>
        </w:rPr>
        <w:t>- не прилагается визуализация (изображение) создаваемого объекта. При этом, объектом учета по счету бухгалтерского учета. 101.36 по состоянию на момент размещения извещения числится основное средство «Металлические ворота».</w:t>
      </w:r>
    </w:p>
    <w:p w:rsidR="00892A51" w:rsidRPr="00892A51" w:rsidRDefault="00892A51" w:rsidP="00892A51">
      <w:pPr>
        <w:ind w:firstLine="709"/>
        <w:contextualSpacing/>
        <w:jc w:val="both"/>
        <w:rPr>
          <w:sz w:val="28"/>
          <w:szCs w:val="28"/>
        </w:rPr>
      </w:pPr>
      <w:r w:rsidRPr="00892A51">
        <w:rPr>
          <w:sz w:val="28"/>
          <w:szCs w:val="28"/>
        </w:rPr>
        <w:t>- в нарушение статьи 45 Федерального закона от 25.06.2002 N 73-ФЗ "Об объектах культурного наследия (памятниках истории и культуры) народов Российской Федерации", Методических рекомендаций по эксплуатации объектов культурного наследия (памятников истории и культуры) народов Российской Федерации, утвержденных  Письмом Минкультуры России от 22.02.2017 N 45-01.1-39-НМ в качестве описания объекта закупки проектно-сметная документация с разделом об обеспечении сохранности объекта культурного наследия (пункт 3 статьи 36 Закона об объектах культурного наследия)   отсутствует;</w:t>
      </w:r>
    </w:p>
    <w:p w:rsidR="00892A51" w:rsidRPr="00892A51" w:rsidRDefault="00892A51" w:rsidP="00892A51">
      <w:pPr>
        <w:ind w:firstLine="709"/>
        <w:contextualSpacing/>
        <w:jc w:val="both"/>
        <w:rPr>
          <w:sz w:val="28"/>
          <w:szCs w:val="28"/>
        </w:rPr>
      </w:pPr>
      <w:r w:rsidRPr="00892A51">
        <w:rPr>
          <w:sz w:val="28"/>
          <w:szCs w:val="28"/>
        </w:rPr>
        <w:lastRenderedPageBreak/>
        <w:t>- в нарушение требований статьи 45 Федерального закона от 25.06.2002 N 73-ФЗ "Об объектах культурного наследия (памятниках истории и культуры) народов Российской Федерации" заказчиком не подтверждено наличие задания на проведение указанных работ, разрешения на проведение указанных работ, согласованных (принятых к сведению) Главным управлением культурного наследия Московской области уведомлений  (запросов на согласование).</w:t>
      </w:r>
    </w:p>
    <w:p w:rsidR="00892A51" w:rsidRPr="00892A51" w:rsidRDefault="00892A51" w:rsidP="00892A51">
      <w:pPr>
        <w:ind w:firstLine="709"/>
        <w:contextualSpacing/>
        <w:jc w:val="both"/>
        <w:rPr>
          <w:sz w:val="28"/>
          <w:szCs w:val="28"/>
        </w:rPr>
      </w:pPr>
      <w:r>
        <w:rPr>
          <w:sz w:val="28"/>
          <w:szCs w:val="28"/>
        </w:rPr>
        <w:t>5</w:t>
      </w:r>
      <w:r w:rsidRPr="00892A51">
        <w:rPr>
          <w:sz w:val="28"/>
          <w:szCs w:val="28"/>
        </w:rPr>
        <w:t>.  В нарушение части 9.2 статьи 22 Закона о контрактной системе, части 1 статьи 8.3 Градостроительного кодекса Российской Федерации при определении НМЦК применен иной метод определения начальной максимальной цены контракта:</w:t>
      </w:r>
    </w:p>
    <w:p w:rsidR="00892A51" w:rsidRPr="00892A51" w:rsidRDefault="00892A51" w:rsidP="00892A51">
      <w:pPr>
        <w:ind w:firstLine="709"/>
        <w:contextualSpacing/>
        <w:jc w:val="both"/>
        <w:rPr>
          <w:sz w:val="28"/>
          <w:szCs w:val="28"/>
        </w:rPr>
      </w:pPr>
      <w:r w:rsidRPr="00892A51">
        <w:rPr>
          <w:sz w:val="28"/>
          <w:szCs w:val="28"/>
        </w:rPr>
        <w:t>- в нарушение  части 9.2 статьи 22 Закона о контрактной системе проектная документация на проведение работ по сохранению объектов культурного наследия не разрабатывалась, проверка достоверности определения сметной стоимости по отдельным закупкам на осуществление строительных работ не проводилась (отсутствует заключение по проверке достоверности определения сметной стоимости объектов капитального строительства).</w:t>
      </w:r>
    </w:p>
    <w:p w:rsidR="00892A51" w:rsidRPr="00892A51" w:rsidRDefault="00892A51" w:rsidP="00892A51">
      <w:pPr>
        <w:ind w:firstLine="709"/>
        <w:contextualSpacing/>
        <w:jc w:val="both"/>
        <w:rPr>
          <w:sz w:val="28"/>
          <w:szCs w:val="28"/>
        </w:rPr>
      </w:pPr>
      <w:r w:rsidRPr="00892A51">
        <w:rPr>
          <w:sz w:val="28"/>
          <w:szCs w:val="28"/>
        </w:rPr>
        <w:t>- в нарушение части 6 статьи 34 Закона о контрактной системе Заказчиком, в связи с ненадлежащим исполнением поставщиком обязательств, предусмотренных контрактом (срок поставки товара), не велась претензионная работа по взысканию пеней и штрафов.</w:t>
      </w:r>
    </w:p>
    <w:p w:rsidR="00892A51" w:rsidRPr="00892A51" w:rsidRDefault="00892A51" w:rsidP="00892A51">
      <w:pPr>
        <w:ind w:firstLine="709"/>
        <w:contextualSpacing/>
        <w:jc w:val="both"/>
        <w:rPr>
          <w:sz w:val="28"/>
          <w:szCs w:val="28"/>
        </w:rPr>
      </w:pPr>
      <w:r>
        <w:rPr>
          <w:sz w:val="28"/>
          <w:szCs w:val="28"/>
        </w:rPr>
        <w:t>6</w:t>
      </w:r>
      <w:r w:rsidRPr="00892A51">
        <w:rPr>
          <w:sz w:val="28"/>
          <w:szCs w:val="28"/>
        </w:rPr>
        <w:t xml:space="preserve">. По муниципальным контрактам № 0848600074924000074 от 05.06.2024 года, № 0848600074924000110 от 13.08.2024 года в нарушение пункта 8.4 Контрактов Заказчиком не принято решение об одностороннем отказе от исполнения Контракта в случаях, установленных статьей 95 Федерального закона № 44-ФЗ. </w:t>
      </w:r>
    </w:p>
    <w:p w:rsidR="00892A51" w:rsidRDefault="00892A51" w:rsidP="00892A51">
      <w:pPr>
        <w:ind w:firstLine="709"/>
        <w:contextualSpacing/>
        <w:jc w:val="both"/>
        <w:rPr>
          <w:sz w:val="28"/>
          <w:szCs w:val="28"/>
        </w:rPr>
      </w:pPr>
      <w:r w:rsidRPr="00892A51">
        <w:rPr>
          <w:sz w:val="28"/>
          <w:szCs w:val="28"/>
        </w:rPr>
        <w:t>В нарушение статьи 104 Закона №44-ФЗ заказчиком не размещена информация в единой информационной системе и не направлены в ФАС обращения о включении информации об участнике закупки (подрядчик) в реестр недобросовестных поставщиков.</w:t>
      </w:r>
    </w:p>
    <w:p w:rsidR="00971736" w:rsidRPr="00892A51" w:rsidRDefault="00892A51" w:rsidP="00892A51">
      <w:pPr>
        <w:ind w:firstLine="709"/>
        <w:contextualSpacing/>
        <w:jc w:val="both"/>
        <w:rPr>
          <w:bCs/>
          <w:iCs/>
          <w:sz w:val="28"/>
          <w:szCs w:val="28"/>
          <w:lang w:eastAsia="en-US"/>
        </w:rPr>
      </w:pPr>
      <w:r w:rsidRPr="00892A51">
        <w:rPr>
          <w:sz w:val="28"/>
          <w:szCs w:val="28"/>
        </w:rPr>
        <w:t xml:space="preserve">7. В нарушение </w:t>
      </w:r>
      <w:r w:rsidR="00971736" w:rsidRPr="00892A51">
        <w:rPr>
          <w:sz w:val="28"/>
          <w:szCs w:val="28"/>
        </w:rPr>
        <w:t xml:space="preserve"> ч. 3 ст. 9</w:t>
      </w:r>
      <w:r w:rsidRPr="00892A51">
        <w:rPr>
          <w:sz w:val="28"/>
          <w:szCs w:val="28"/>
        </w:rPr>
        <w:t xml:space="preserve">4 Закона о контрактной системе </w:t>
      </w:r>
      <w:r w:rsidR="00971736" w:rsidRPr="00892A51">
        <w:rPr>
          <w:bCs/>
          <w:iCs/>
          <w:sz w:val="28"/>
          <w:szCs w:val="28"/>
          <w:lang w:eastAsia="en-US"/>
        </w:rPr>
        <w:t>Заказчиком в проверяемом не проводилась экспертиза поставленных товаров, результатов выполненных работ (оказания услуг), в части их соответствия условиям контрактов.</w:t>
      </w:r>
    </w:p>
    <w:p w:rsidR="00971736" w:rsidRPr="00971736" w:rsidRDefault="00971736" w:rsidP="00971736">
      <w:pPr>
        <w:keepNext/>
        <w:keepLines/>
        <w:widowControl w:val="0"/>
        <w:tabs>
          <w:tab w:val="left" w:pos="1131"/>
        </w:tabs>
        <w:ind w:firstLine="709"/>
        <w:jc w:val="both"/>
        <w:outlineLvl w:val="0"/>
        <w:rPr>
          <w:bCs/>
          <w:i/>
          <w:iCs/>
          <w:sz w:val="28"/>
          <w:szCs w:val="28"/>
          <w:lang w:eastAsia="en-US"/>
        </w:rPr>
      </w:pPr>
    </w:p>
    <w:p w:rsidR="00971736" w:rsidRPr="00971736" w:rsidRDefault="003879DD" w:rsidP="003879DD">
      <w:pPr>
        <w:autoSpaceDE w:val="0"/>
        <w:autoSpaceDN w:val="0"/>
        <w:adjustRightInd w:val="0"/>
        <w:ind w:firstLine="709"/>
        <w:jc w:val="both"/>
        <w:rPr>
          <w:b/>
          <w:sz w:val="28"/>
          <w:szCs w:val="28"/>
        </w:rPr>
      </w:pPr>
      <w:r>
        <w:rPr>
          <w:b/>
          <w:sz w:val="28"/>
          <w:szCs w:val="28"/>
        </w:rPr>
        <w:t>В ходе анализа осуществления в</w:t>
      </w:r>
      <w:r w:rsidR="00971736" w:rsidRPr="00971736">
        <w:rPr>
          <w:b/>
          <w:sz w:val="28"/>
          <w:szCs w:val="28"/>
        </w:rPr>
        <w:t>едомственн</w:t>
      </w:r>
      <w:r>
        <w:rPr>
          <w:b/>
          <w:sz w:val="28"/>
          <w:szCs w:val="28"/>
        </w:rPr>
        <w:t>ого</w:t>
      </w:r>
      <w:r w:rsidR="00971736" w:rsidRPr="00971736">
        <w:rPr>
          <w:b/>
          <w:sz w:val="28"/>
          <w:szCs w:val="28"/>
        </w:rPr>
        <w:t xml:space="preserve"> контрол</w:t>
      </w:r>
      <w:r>
        <w:rPr>
          <w:b/>
          <w:sz w:val="28"/>
          <w:szCs w:val="28"/>
        </w:rPr>
        <w:t>я в сфере закупок установлено следующее:</w:t>
      </w:r>
    </w:p>
    <w:p w:rsidR="00971736" w:rsidRPr="00971736" w:rsidRDefault="00971736" w:rsidP="00971736">
      <w:pPr>
        <w:ind w:firstLine="709"/>
        <w:jc w:val="both"/>
        <w:rPr>
          <w:sz w:val="28"/>
          <w:szCs w:val="28"/>
          <w:shd w:val="clear" w:color="auto" w:fill="FFFFFF"/>
        </w:rPr>
      </w:pPr>
      <w:r w:rsidRPr="00971736">
        <w:rPr>
          <w:sz w:val="28"/>
          <w:szCs w:val="28"/>
          <w:shd w:val="clear" w:color="auto" w:fill="FFFFFF"/>
        </w:rPr>
        <w:t>В соответствии со статьей 100 Закона N 44-ФЗ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местной администрацией.</w:t>
      </w:r>
    </w:p>
    <w:p w:rsidR="00971736" w:rsidRPr="00971736" w:rsidRDefault="00971736" w:rsidP="00971736">
      <w:pPr>
        <w:ind w:firstLine="709"/>
        <w:jc w:val="both"/>
        <w:rPr>
          <w:sz w:val="28"/>
          <w:szCs w:val="28"/>
          <w:shd w:val="clear" w:color="auto" w:fill="FFFFFF"/>
        </w:rPr>
      </w:pPr>
      <w:r w:rsidRPr="00971736">
        <w:rPr>
          <w:sz w:val="28"/>
          <w:szCs w:val="28"/>
          <w:shd w:val="clear" w:color="auto" w:fill="FFFFFF"/>
        </w:rPr>
        <w:t xml:space="preserve">В соответствии с требованиями статьи 100 Закона №44-ФЗ администрацией городского округа Лотошино установлен порядок осуществления ведомственного контроля Московской области, утвержденный </w:t>
      </w:r>
      <w:r w:rsidRPr="00971736">
        <w:rPr>
          <w:sz w:val="28"/>
          <w:szCs w:val="28"/>
          <w:shd w:val="clear" w:color="auto" w:fill="FFFFFF"/>
        </w:rPr>
        <w:lastRenderedPageBreak/>
        <w:t>постановлением администрации городского округа Лотошино №658 от 05.05.2023 года.</w:t>
      </w:r>
    </w:p>
    <w:p w:rsidR="00971736" w:rsidRPr="00971736" w:rsidRDefault="00971736" w:rsidP="00971736">
      <w:pPr>
        <w:ind w:firstLine="709"/>
        <w:jc w:val="both"/>
        <w:rPr>
          <w:sz w:val="28"/>
          <w:szCs w:val="28"/>
          <w:shd w:val="clear" w:color="auto" w:fill="FFFFFF"/>
        </w:rPr>
      </w:pPr>
      <w:r w:rsidRPr="00971736">
        <w:rPr>
          <w:sz w:val="28"/>
          <w:szCs w:val="28"/>
          <w:shd w:val="clear" w:color="auto" w:fill="FFFFFF"/>
        </w:rPr>
        <w:t>Полномочиями главных распорядителей средств бюджета городского округа Лотошино на осуществление ведомственного контроля в сфере закупок товаров, работ, услуг для обеспечения муниципальных нужд муниципального образования городской округ Лотошино в соответствии с постановлением администрации городского округа Лотошино №842 от 05.06.2023 года, наделен сектор финансового контроля финансово-экономического управления администрации городского округа Лотошино.</w:t>
      </w:r>
    </w:p>
    <w:p w:rsidR="00971736" w:rsidRDefault="00971736" w:rsidP="00971736">
      <w:pPr>
        <w:ind w:firstLine="709"/>
        <w:jc w:val="both"/>
        <w:rPr>
          <w:sz w:val="28"/>
          <w:szCs w:val="28"/>
          <w:shd w:val="clear" w:color="auto" w:fill="FFFFFF"/>
        </w:rPr>
      </w:pPr>
      <w:r w:rsidRPr="00971736">
        <w:rPr>
          <w:sz w:val="28"/>
          <w:szCs w:val="28"/>
          <w:shd w:val="clear" w:color="auto" w:fill="FFFFFF"/>
        </w:rPr>
        <w:t>План проведения мероприятий ведомственного контроля в сфере закупок товаров, работ, услуг для обеспечения муниципальных нужд муниципального образования городской округ Лотошино на 2024 год утвержден приказом ФЭУ администрации городского округа Лотошино №72 от 25.12.2023 года. В 2024 году Учреждение объектом ведомственного контроля не являлось.</w:t>
      </w:r>
    </w:p>
    <w:p w:rsidR="00795A84" w:rsidRPr="00971736" w:rsidRDefault="00795A84" w:rsidP="00971736">
      <w:pPr>
        <w:ind w:firstLine="709"/>
        <w:jc w:val="both"/>
        <w:rPr>
          <w:sz w:val="28"/>
          <w:szCs w:val="28"/>
          <w:shd w:val="clear" w:color="auto" w:fill="FFFFFF"/>
        </w:rPr>
      </w:pPr>
    </w:p>
    <w:p w:rsidR="001A09A4" w:rsidRDefault="001A09A4" w:rsidP="000659AB">
      <w:pPr>
        <w:ind w:firstLine="709"/>
        <w:jc w:val="both"/>
        <w:rPr>
          <w:sz w:val="28"/>
          <w:szCs w:val="28"/>
          <w:lang w:eastAsia="en-US"/>
        </w:rPr>
      </w:pPr>
      <w:bookmarkStart w:id="0" w:name="_GoBack"/>
      <w:bookmarkEnd w:id="0"/>
    </w:p>
    <w:p w:rsidR="001C3504" w:rsidRPr="00795A84" w:rsidRDefault="001C3504" w:rsidP="00DB173B">
      <w:pPr>
        <w:ind w:firstLine="709"/>
        <w:jc w:val="both"/>
        <w:rPr>
          <w:sz w:val="28"/>
          <w:szCs w:val="28"/>
          <w:lang w:eastAsia="en-US"/>
        </w:rPr>
      </w:pPr>
    </w:p>
    <w:p w:rsidR="006377C5" w:rsidRPr="00795A84" w:rsidRDefault="006377C5">
      <w:pPr>
        <w:rPr>
          <w:sz w:val="28"/>
          <w:szCs w:val="28"/>
        </w:rPr>
      </w:pPr>
    </w:p>
    <w:p w:rsidR="009A529C" w:rsidRPr="00F2259A" w:rsidRDefault="009A529C">
      <w:pPr>
        <w:rPr>
          <w:color w:val="FF0000"/>
        </w:rPr>
      </w:pPr>
    </w:p>
    <w:sectPr w:rsidR="009A529C" w:rsidRPr="00F2259A" w:rsidSect="00766DC5">
      <w:footerReference w:type="default" r:id="rId10"/>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C4" w:rsidRDefault="00AB00C4" w:rsidP="00DB173B">
      <w:r>
        <w:separator/>
      </w:r>
    </w:p>
  </w:endnote>
  <w:endnote w:type="continuationSeparator" w:id="0">
    <w:p w:rsidR="00AB00C4" w:rsidRDefault="00AB00C4" w:rsidP="00DB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3697"/>
      <w:docPartObj>
        <w:docPartGallery w:val="Page Numbers (Bottom of Page)"/>
        <w:docPartUnique/>
      </w:docPartObj>
    </w:sdtPr>
    <w:sdtEndPr/>
    <w:sdtContent>
      <w:p w:rsidR="00760D16" w:rsidRDefault="00760D16">
        <w:pPr>
          <w:pStyle w:val="a8"/>
          <w:jc w:val="right"/>
        </w:pPr>
        <w:r>
          <w:fldChar w:fldCharType="begin"/>
        </w:r>
        <w:r>
          <w:instrText>PAGE   \* MERGEFORMAT</w:instrText>
        </w:r>
        <w:r>
          <w:fldChar w:fldCharType="separate"/>
        </w:r>
        <w:r w:rsidR="00892A51">
          <w:rPr>
            <w:noProof/>
          </w:rPr>
          <w:t>12</w:t>
        </w:r>
        <w:r>
          <w:fldChar w:fldCharType="end"/>
        </w:r>
      </w:p>
    </w:sdtContent>
  </w:sdt>
  <w:p w:rsidR="00760D16" w:rsidRDefault="00760D1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C4" w:rsidRDefault="00AB00C4" w:rsidP="00DB173B">
      <w:r>
        <w:separator/>
      </w:r>
    </w:p>
  </w:footnote>
  <w:footnote w:type="continuationSeparator" w:id="0">
    <w:p w:rsidR="00AB00C4" w:rsidRDefault="00AB00C4" w:rsidP="00DB17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51F"/>
    <w:multiLevelType w:val="multilevel"/>
    <w:tmpl w:val="D070FD0C"/>
    <w:lvl w:ilvl="0">
      <w:start w:val="2018"/>
      <w:numFmt w:val="decimal"/>
      <w:lvlText w:val="31.1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E2BA0"/>
    <w:multiLevelType w:val="multilevel"/>
    <w:tmpl w:val="BB4A7E6E"/>
    <w:lvl w:ilvl="0">
      <w:start w:val="1"/>
      <w:numFmt w:val="decimal"/>
      <w:lvlText w:val="%1."/>
      <w:lvlJc w:val="left"/>
      <w:pPr>
        <w:ind w:left="900" w:hanging="360"/>
      </w:pPr>
      <w:rPr>
        <w:rFonts w:hint="default"/>
      </w:rPr>
    </w:lvl>
    <w:lvl w:ilvl="1">
      <w:start w:val="2"/>
      <w:numFmt w:val="decimal"/>
      <w:isLgl/>
      <w:lvlText w:val="%1.%2"/>
      <w:lvlJc w:val="left"/>
      <w:pPr>
        <w:ind w:left="2111" w:hanging="1260"/>
      </w:pPr>
      <w:rPr>
        <w:rFonts w:hint="default"/>
        <w:b w:val="0"/>
        <w:i w:val="0"/>
      </w:rPr>
    </w:lvl>
    <w:lvl w:ilvl="2">
      <w:start w:val="1"/>
      <w:numFmt w:val="decimal"/>
      <w:isLgl/>
      <w:lvlText w:val="%1.%2.%3"/>
      <w:lvlJc w:val="left"/>
      <w:pPr>
        <w:ind w:left="2138" w:hanging="1260"/>
      </w:pPr>
      <w:rPr>
        <w:rFonts w:hint="default"/>
        <w:b w:val="0"/>
        <w:i w:val="0"/>
      </w:rPr>
    </w:lvl>
    <w:lvl w:ilvl="3">
      <w:start w:val="1"/>
      <w:numFmt w:val="decimal"/>
      <w:isLgl/>
      <w:lvlText w:val="%1.%2.%3.%4"/>
      <w:lvlJc w:val="left"/>
      <w:pPr>
        <w:ind w:left="2307" w:hanging="1260"/>
      </w:pPr>
      <w:rPr>
        <w:rFonts w:hint="default"/>
        <w:b w:val="0"/>
        <w:i w:val="0"/>
      </w:rPr>
    </w:lvl>
    <w:lvl w:ilvl="4">
      <w:start w:val="1"/>
      <w:numFmt w:val="decimal"/>
      <w:isLgl/>
      <w:lvlText w:val="%1.%2.%3.%4.%5"/>
      <w:lvlJc w:val="left"/>
      <w:pPr>
        <w:ind w:left="2476" w:hanging="1260"/>
      </w:pPr>
      <w:rPr>
        <w:rFonts w:hint="default"/>
        <w:b w:val="0"/>
        <w:i w:val="0"/>
      </w:rPr>
    </w:lvl>
    <w:lvl w:ilvl="5">
      <w:start w:val="1"/>
      <w:numFmt w:val="decimal"/>
      <w:isLgl/>
      <w:lvlText w:val="%1.%2.%3.%4.%5.%6"/>
      <w:lvlJc w:val="left"/>
      <w:pPr>
        <w:ind w:left="2645" w:hanging="1260"/>
      </w:pPr>
      <w:rPr>
        <w:rFonts w:hint="default"/>
        <w:b w:val="0"/>
        <w:i w:val="0"/>
      </w:rPr>
    </w:lvl>
    <w:lvl w:ilvl="6">
      <w:start w:val="1"/>
      <w:numFmt w:val="decimal"/>
      <w:isLgl/>
      <w:lvlText w:val="%1.%2.%3.%4.%5.%6.%7"/>
      <w:lvlJc w:val="left"/>
      <w:pPr>
        <w:ind w:left="2994" w:hanging="1440"/>
      </w:pPr>
      <w:rPr>
        <w:rFonts w:hint="default"/>
        <w:b w:val="0"/>
        <w:i w:val="0"/>
      </w:rPr>
    </w:lvl>
    <w:lvl w:ilvl="7">
      <w:start w:val="1"/>
      <w:numFmt w:val="decimal"/>
      <w:isLgl/>
      <w:lvlText w:val="%1.%2.%3.%4.%5.%6.%7.%8"/>
      <w:lvlJc w:val="left"/>
      <w:pPr>
        <w:ind w:left="3163" w:hanging="1440"/>
      </w:pPr>
      <w:rPr>
        <w:rFonts w:hint="default"/>
        <w:b w:val="0"/>
        <w:i w:val="0"/>
      </w:rPr>
    </w:lvl>
    <w:lvl w:ilvl="8">
      <w:start w:val="1"/>
      <w:numFmt w:val="decimal"/>
      <w:isLgl/>
      <w:lvlText w:val="%1.%2.%3.%4.%5.%6.%7.%8.%9"/>
      <w:lvlJc w:val="left"/>
      <w:pPr>
        <w:ind w:left="3692" w:hanging="1800"/>
      </w:pPr>
      <w:rPr>
        <w:rFonts w:hint="default"/>
        <w:b w:val="0"/>
        <w:i w:val="0"/>
      </w:rPr>
    </w:lvl>
  </w:abstractNum>
  <w:abstractNum w:abstractNumId="2" w15:restartNumberingAfterBreak="0">
    <w:nsid w:val="26442EC2"/>
    <w:multiLevelType w:val="multilevel"/>
    <w:tmpl w:val="0FB0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CE22A2"/>
    <w:multiLevelType w:val="multilevel"/>
    <w:tmpl w:val="D1B0F20C"/>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561D23"/>
    <w:multiLevelType w:val="hybridMultilevel"/>
    <w:tmpl w:val="F7AAC9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FE539C"/>
    <w:multiLevelType w:val="multilevel"/>
    <w:tmpl w:val="BF709C10"/>
    <w:lvl w:ilvl="0">
      <w:start w:val="2015"/>
      <w:numFmt w:val="decimal"/>
      <w:lvlText w:val="12.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B91F40"/>
    <w:multiLevelType w:val="hybridMultilevel"/>
    <w:tmpl w:val="D3DA049C"/>
    <w:lvl w:ilvl="0" w:tplc="F768E788">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35CC1BFC"/>
    <w:multiLevelType w:val="hybridMultilevel"/>
    <w:tmpl w:val="A912CB50"/>
    <w:lvl w:ilvl="0" w:tplc="A7C857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55B651D"/>
    <w:multiLevelType w:val="multilevel"/>
    <w:tmpl w:val="93B87E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B37364"/>
    <w:multiLevelType w:val="multilevel"/>
    <w:tmpl w:val="2E1A234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04568E"/>
    <w:multiLevelType w:val="multilevel"/>
    <w:tmpl w:val="83A84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F032A1"/>
    <w:multiLevelType w:val="hybridMultilevel"/>
    <w:tmpl w:val="53C2C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2174C6D"/>
    <w:multiLevelType w:val="hybridMultilevel"/>
    <w:tmpl w:val="8408A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AD6FBF"/>
    <w:multiLevelType w:val="hybridMultilevel"/>
    <w:tmpl w:val="86665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7"/>
  </w:num>
  <w:num w:numId="4">
    <w:abstractNumId w:val="9"/>
  </w:num>
  <w:num w:numId="5">
    <w:abstractNumId w:val="11"/>
  </w:num>
  <w:num w:numId="6">
    <w:abstractNumId w:val="4"/>
  </w:num>
  <w:num w:numId="7">
    <w:abstractNumId w:val="0"/>
  </w:num>
  <w:num w:numId="8">
    <w:abstractNumId w:val="6"/>
  </w:num>
  <w:num w:numId="9">
    <w:abstractNumId w:val="10"/>
  </w:num>
  <w:num w:numId="10">
    <w:abstractNumId w:val="1"/>
  </w:num>
  <w:num w:numId="11">
    <w:abstractNumId w:val="12"/>
  </w:num>
  <w:num w:numId="12">
    <w:abstractNumId w:val="2"/>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40"/>
    <w:rsid w:val="000659AB"/>
    <w:rsid w:val="001567C7"/>
    <w:rsid w:val="001A09A4"/>
    <w:rsid w:val="001C3504"/>
    <w:rsid w:val="00242F08"/>
    <w:rsid w:val="002B2BE0"/>
    <w:rsid w:val="003879DD"/>
    <w:rsid w:val="003A24E8"/>
    <w:rsid w:val="003B15C5"/>
    <w:rsid w:val="003B47E6"/>
    <w:rsid w:val="00493E54"/>
    <w:rsid w:val="00500A03"/>
    <w:rsid w:val="00630489"/>
    <w:rsid w:val="006377C5"/>
    <w:rsid w:val="00760D16"/>
    <w:rsid w:val="00766DC5"/>
    <w:rsid w:val="00785408"/>
    <w:rsid w:val="00795A84"/>
    <w:rsid w:val="007F1E40"/>
    <w:rsid w:val="008144E7"/>
    <w:rsid w:val="00892A51"/>
    <w:rsid w:val="008A14BA"/>
    <w:rsid w:val="008A6E4E"/>
    <w:rsid w:val="008D3F76"/>
    <w:rsid w:val="00971736"/>
    <w:rsid w:val="009A529C"/>
    <w:rsid w:val="00A839C3"/>
    <w:rsid w:val="00AB00C4"/>
    <w:rsid w:val="00DB173B"/>
    <w:rsid w:val="00DE5439"/>
    <w:rsid w:val="00E64302"/>
    <w:rsid w:val="00EF5A15"/>
    <w:rsid w:val="00F2259A"/>
    <w:rsid w:val="00F96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1905"/>
  <w15:chartTrackingRefBased/>
  <w15:docId w15:val="{197FE721-DDF2-4E4E-993C-971FD4A8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E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6DC5"/>
    <w:pPr>
      <w:jc w:val="center"/>
      <w:outlineLvl w:val="0"/>
    </w:pPr>
    <w:rPr>
      <w:b/>
      <w:caps/>
      <w:spacing w:val="60"/>
      <w:sz w:val="28"/>
      <w:szCs w:val="28"/>
    </w:rPr>
  </w:style>
  <w:style w:type="paragraph" w:styleId="3">
    <w:name w:val="heading 3"/>
    <w:basedOn w:val="a"/>
    <w:next w:val="a"/>
    <w:link w:val="30"/>
    <w:qFormat/>
    <w:rsid w:val="00766DC5"/>
    <w:pPr>
      <w:jc w:val="center"/>
      <w:outlineLvl w:val="2"/>
    </w:pPr>
    <w:rPr>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
    <w:name w:val="s2"/>
    <w:basedOn w:val="a0"/>
    <w:rsid w:val="007F1E40"/>
  </w:style>
  <w:style w:type="paragraph" w:styleId="a3">
    <w:name w:val="List Paragraph"/>
    <w:basedOn w:val="a"/>
    <w:link w:val="a4"/>
    <w:uiPriority w:val="34"/>
    <w:qFormat/>
    <w:rsid w:val="007F1E40"/>
    <w:pPr>
      <w:spacing w:after="200" w:line="276" w:lineRule="auto"/>
      <w:ind w:left="720"/>
      <w:contextualSpacing/>
    </w:pPr>
    <w:rPr>
      <w:rFonts w:ascii="Calibri" w:hAnsi="Calibri"/>
      <w:sz w:val="22"/>
      <w:szCs w:val="22"/>
    </w:rPr>
  </w:style>
  <w:style w:type="table" w:styleId="a5">
    <w:name w:val="Table Grid"/>
    <w:basedOn w:val="a1"/>
    <w:uiPriority w:val="59"/>
    <w:rsid w:val="007F1E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Абзац списка Знак"/>
    <w:link w:val="a3"/>
    <w:uiPriority w:val="34"/>
    <w:locked/>
    <w:rsid w:val="007F1E40"/>
    <w:rPr>
      <w:rFonts w:ascii="Calibri" w:eastAsia="Times New Roman" w:hAnsi="Calibri" w:cs="Times New Roman"/>
      <w:lang w:eastAsia="ru-RU"/>
    </w:rPr>
  </w:style>
  <w:style w:type="character" w:customStyle="1" w:styleId="10">
    <w:name w:val="Заголовок 1 Знак"/>
    <w:basedOn w:val="a0"/>
    <w:link w:val="1"/>
    <w:rsid w:val="00766DC5"/>
    <w:rPr>
      <w:rFonts w:ascii="Times New Roman" w:eastAsia="Times New Roman" w:hAnsi="Times New Roman" w:cs="Times New Roman"/>
      <w:b/>
      <w:caps/>
      <w:spacing w:val="60"/>
      <w:sz w:val="28"/>
      <w:szCs w:val="28"/>
      <w:lang w:eastAsia="ru-RU"/>
    </w:rPr>
  </w:style>
  <w:style w:type="character" w:customStyle="1" w:styleId="30">
    <w:name w:val="Заголовок 3 Знак"/>
    <w:basedOn w:val="a0"/>
    <w:link w:val="3"/>
    <w:rsid w:val="00766DC5"/>
    <w:rPr>
      <w:rFonts w:ascii="Times New Roman" w:eastAsia="Times New Roman" w:hAnsi="Times New Roman" w:cs="Times New Roman"/>
      <w:b/>
      <w:snapToGrid w:val="0"/>
      <w:sz w:val="28"/>
      <w:szCs w:val="28"/>
      <w:lang w:eastAsia="ru-RU"/>
    </w:rPr>
  </w:style>
  <w:style w:type="numbering" w:customStyle="1" w:styleId="11">
    <w:name w:val="Нет списка1"/>
    <w:next w:val="a2"/>
    <w:uiPriority w:val="99"/>
    <w:semiHidden/>
    <w:unhideWhenUsed/>
    <w:rsid w:val="00766DC5"/>
  </w:style>
  <w:style w:type="paragraph" w:customStyle="1" w:styleId="12">
    <w:name w:val="Верхний колонтитул1"/>
    <w:basedOn w:val="a"/>
    <w:next w:val="a6"/>
    <w:link w:val="a7"/>
    <w:uiPriority w:val="99"/>
    <w:semiHidden/>
    <w:unhideWhenUsed/>
    <w:rsid w:val="00766DC5"/>
    <w:pPr>
      <w:tabs>
        <w:tab w:val="center" w:pos="4677"/>
        <w:tab w:val="right" w:pos="9355"/>
      </w:tabs>
    </w:pPr>
    <w:rPr>
      <w:rFonts w:asciiTheme="minorHAnsi" w:hAnsiTheme="minorHAnsi" w:cstheme="minorBidi"/>
      <w:sz w:val="22"/>
      <w:szCs w:val="22"/>
    </w:rPr>
  </w:style>
  <w:style w:type="character" w:customStyle="1" w:styleId="a7">
    <w:name w:val="Верхний колонтитул Знак"/>
    <w:basedOn w:val="a0"/>
    <w:link w:val="12"/>
    <w:uiPriority w:val="99"/>
    <w:semiHidden/>
    <w:rsid w:val="00766DC5"/>
    <w:rPr>
      <w:rFonts w:eastAsia="Times New Roman"/>
      <w:lang w:eastAsia="ru-RU"/>
    </w:rPr>
  </w:style>
  <w:style w:type="paragraph" w:customStyle="1" w:styleId="13">
    <w:name w:val="Нижний колонтитул1"/>
    <w:basedOn w:val="a"/>
    <w:next w:val="a8"/>
    <w:link w:val="a9"/>
    <w:uiPriority w:val="99"/>
    <w:unhideWhenUsed/>
    <w:rsid w:val="00766DC5"/>
    <w:pPr>
      <w:tabs>
        <w:tab w:val="center" w:pos="4677"/>
        <w:tab w:val="right" w:pos="9355"/>
      </w:tabs>
    </w:pPr>
    <w:rPr>
      <w:rFonts w:asciiTheme="minorHAnsi" w:hAnsiTheme="minorHAnsi" w:cstheme="minorBidi"/>
      <w:sz w:val="22"/>
      <w:szCs w:val="22"/>
    </w:rPr>
  </w:style>
  <w:style w:type="character" w:customStyle="1" w:styleId="a9">
    <w:name w:val="Нижний колонтитул Знак"/>
    <w:basedOn w:val="a0"/>
    <w:link w:val="13"/>
    <w:uiPriority w:val="99"/>
    <w:rsid w:val="00766DC5"/>
    <w:rPr>
      <w:rFonts w:eastAsia="Times New Roman"/>
      <w:lang w:eastAsia="ru-RU"/>
    </w:rPr>
  </w:style>
  <w:style w:type="paragraph" w:customStyle="1" w:styleId="ConsPlusNonformat">
    <w:name w:val="ConsPlusNonformat"/>
    <w:uiPriority w:val="99"/>
    <w:rsid w:val="00766D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aliases w:val=" Знак,Знак Знак Знак,Знак"/>
    <w:basedOn w:val="a"/>
    <w:link w:val="ab"/>
    <w:rsid w:val="00766DC5"/>
    <w:pPr>
      <w:spacing w:line="360" w:lineRule="auto"/>
      <w:jc w:val="both"/>
    </w:pPr>
    <w:rPr>
      <w:sz w:val="28"/>
      <w:szCs w:val="20"/>
    </w:rPr>
  </w:style>
  <w:style w:type="character" w:customStyle="1" w:styleId="ab">
    <w:name w:val="Основной текст Знак"/>
    <w:aliases w:val=" Знак Знак,Знак Знак Знак Знак,Знак Знак"/>
    <w:basedOn w:val="a0"/>
    <w:link w:val="aa"/>
    <w:rsid w:val="00766DC5"/>
    <w:rPr>
      <w:rFonts w:ascii="Times New Roman" w:eastAsia="Times New Roman" w:hAnsi="Times New Roman" w:cs="Times New Roman"/>
      <w:sz w:val="28"/>
      <w:szCs w:val="20"/>
      <w:lang w:eastAsia="ru-RU"/>
    </w:rPr>
  </w:style>
  <w:style w:type="character" w:customStyle="1" w:styleId="ac">
    <w:name w:val="Основной текст_"/>
    <w:basedOn w:val="a0"/>
    <w:link w:val="31"/>
    <w:rsid w:val="00766DC5"/>
    <w:rPr>
      <w:rFonts w:ascii="Times New Roman" w:eastAsia="Times New Roman" w:hAnsi="Times New Roman" w:cs="Times New Roman"/>
      <w:shd w:val="clear" w:color="auto" w:fill="FFFFFF"/>
    </w:rPr>
  </w:style>
  <w:style w:type="paragraph" w:customStyle="1" w:styleId="31">
    <w:name w:val="Основной текст3"/>
    <w:basedOn w:val="a"/>
    <w:link w:val="ac"/>
    <w:rsid w:val="00766DC5"/>
    <w:pPr>
      <w:widowControl w:val="0"/>
      <w:shd w:val="clear" w:color="auto" w:fill="FFFFFF"/>
      <w:spacing w:before="300" w:line="252" w:lineRule="exact"/>
      <w:ind w:hanging="380"/>
      <w:jc w:val="both"/>
    </w:pPr>
    <w:rPr>
      <w:sz w:val="22"/>
      <w:szCs w:val="22"/>
      <w:lang w:eastAsia="en-US"/>
    </w:rPr>
  </w:style>
  <w:style w:type="paragraph" w:customStyle="1" w:styleId="14">
    <w:name w:val="Должность1"/>
    <w:basedOn w:val="a"/>
    <w:rsid w:val="00766DC5"/>
    <w:pPr>
      <w:overflowPunct w:val="0"/>
      <w:autoSpaceDE w:val="0"/>
      <w:autoSpaceDN w:val="0"/>
      <w:adjustRightInd w:val="0"/>
      <w:textAlignment w:val="baseline"/>
    </w:pPr>
    <w:rPr>
      <w:sz w:val="28"/>
      <w:szCs w:val="28"/>
    </w:rPr>
  </w:style>
  <w:style w:type="paragraph" w:customStyle="1" w:styleId="5">
    <w:name w:val="Основной текст5"/>
    <w:basedOn w:val="a"/>
    <w:rsid w:val="00766DC5"/>
    <w:pPr>
      <w:widowControl w:val="0"/>
      <w:shd w:val="clear" w:color="auto" w:fill="FFFFFF"/>
      <w:spacing w:after="180" w:line="250" w:lineRule="exact"/>
      <w:jc w:val="both"/>
    </w:pPr>
    <w:rPr>
      <w:color w:val="000000"/>
      <w:sz w:val="23"/>
      <w:szCs w:val="23"/>
    </w:rPr>
  </w:style>
  <w:style w:type="character" w:customStyle="1" w:styleId="15">
    <w:name w:val="Заголовок №1_"/>
    <w:basedOn w:val="a0"/>
    <w:link w:val="16"/>
    <w:rsid w:val="00766DC5"/>
    <w:rPr>
      <w:rFonts w:ascii="Times New Roman" w:eastAsia="Times New Roman" w:hAnsi="Times New Roman" w:cs="Times New Roman"/>
      <w:b/>
      <w:bCs/>
      <w:sz w:val="23"/>
      <w:szCs w:val="23"/>
      <w:shd w:val="clear" w:color="auto" w:fill="FFFFFF"/>
    </w:rPr>
  </w:style>
  <w:style w:type="paragraph" w:customStyle="1" w:styleId="16">
    <w:name w:val="Заголовок №1"/>
    <w:basedOn w:val="a"/>
    <w:link w:val="15"/>
    <w:rsid w:val="00766DC5"/>
    <w:pPr>
      <w:widowControl w:val="0"/>
      <w:shd w:val="clear" w:color="auto" w:fill="FFFFFF"/>
      <w:spacing w:line="274" w:lineRule="exact"/>
      <w:ind w:hanging="340"/>
      <w:outlineLvl w:val="0"/>
    </w:pPr>
    <w:rPr>
      <w:b/>
      <w:bCs/>
      <w:sz w:val="23"/>
      <w:szCs w:val="23"/>
      <w:lang w:eastAsia="en-US"/>
    </w:rPr>
  </w:style>
  <w:style w:type="character" w:customStyle="1" w:styleId="17">
    <w:name w:val="Основной текст1"/>
    <w:basedOn w:val="ac"/>
    <w:rsid w:val="00766DC5"/>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ad">
    <w:name w:val="Подпись к таблице"/>
    <w:basedOn w:val="a0"/>
    <w:rsid w:val="00766DC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paragraph" w:customStyle="1" w:styleId="ConsPlusNormal">
    <w:name w:val="ConsPlusNormal"/>
    <w:link w:val="ConsPlusNormal0"/>
    <w:rsid w:val="00766DC5"/>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rsid w:val="00766DC5"/>
    <w:rPr>
      <w:rFonts w:ascii="Arial" w:eastAsia="Calibri" w:hAnsi="Arial" w:cs="Arial"/>
      <w:sz w:val="20"/>
      <w:szCs w:val="20"/>
      <w:lang w:eastAsia="ru-RU"/>
    </w:rPr>
  </w:style>
  <w:style w:type="character" w:styleId="ae">
    <w:name w:val="Hyperlink"/>
    <w:basedOn w:val="a0"/>
    <w:unhideWhenUsed/>
    <w:rsid w:val="00766DC5"/>
    <w:rPr>
      <w:color w:val="0000FF"/>
      <w:u w:val="single"/>
    </w:rPr>
  </w:style>
  <w:style w:type="paragraph" w:styleId="HTML">
    <w:name w:val="HTML Preformatted"/>
    <w:basedOn w:val="a"/>
    <w:link w:val="HTML0"/>
    <w:uiPriority w:val="99"/>
    <w:unhideWhenUsed/>
    <w:rsid w:val="00766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66DC5"/>
    <w:rPr>
      <w:rFonts w:ascii="Courier New" w:eastAsia="Times New Roman" w:hAnsi="Courier New" w:cs="Courier New"/>
      <w:sz w:val="20"/>
      <w:szCs w:val="20"/>
      <w:lang w:eastAsia="ru-RU"/>
    </w:rPr>
  </w:style>
  <w:style w:type="character" w:customStyle="1" w:styleId="32">
    <w:name w:val="Заголовок №3_"/>
    <w:basedOn w:val="a0"/>
    <w:link w:val="33"/>
    <w:rsid w:val="00766DC5"/>
    <w:rPr>
      <w:rFonts w:ascii="Arial" w:eastAsia="Arial" w:hAnsi="Arial" w:cs="Arial"/>
      <w:b/>
      <w:bCs/>
      <w:sz w:val="30"/>
      <w:szCs w:val="30"/>
      <w:shd w:val="clear" w:color="auto" w:fill="FFFFFF"/>
    </w:rPr>
  </w:style>
  <w:style w:type="paragraph" w:customStyle="1" w:styleId="33">
    <w:name w:val="Заголовок №3"/>
    <w:basedOn w:val="a"/>
    <w:link w:val="32"/>
    <w:rsid w:val="00766DC5"/>
    <w:pPr>
      <w:widowControl w:val="0"/>
      <w:shd w:val="clear" w:color="auto" w:fill="FFFFFF"/>
      <w:spacing w:before="300" w:after="720" w:line="346" w:lineRule="exact"/>
      <w:outlineLvl w:val="2"/>
    </w:pPr>
    <w:rPr>
      <w:rFonts w:ascii="Arial" w:eastAsia="Arial" w:hAnsi="Arial" w:cs="Arial"/>
      <w:b/>
      <w:bCs/>
      <w:sz w:val="30"/>
      <w:szCs w:val="30"/>
      <w:lang w:eastAsia="en-US"/>
    </w:rPr>
  </w:style>
  <w:style w:type="character" w:customStyle="1" w:styleId="2">
    <w:name w:val="Основной текст (2)_"/>
    <w:basedOn w:val="a0"/>
    <w:rsid w:val="00766DC5"/>
    <w:rPr>
      <w:rFonts w:ascii="Times New Roman" w:eastAsia="Times New Roman" w:hAnsi="Times New Roman" w:cs="Times New Roman"/>
      <w:b/>
      <w:bCs/>
      <w:i w:val="0"/>
      <w:iCs w:val="0"/>
      <w:smallCaps w:val="0"/>
      <w:strike w:val="0"/>
      <w:sz w:val="23"/>
      <w:szCs w:val="23"/>
      <w:u w:val="none"/>
    </w:rPr>
  </w:style>
  <w:style w:type="character" w:customStyle="1" w:styleId="20">
    <w:name w:val="Основной текст (2) + Не полужирный"/>
    <w:basedOn w:val="2"/>
    <w:rsid w:val="00766DC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
    <w:name w:val="Основной текст4"/>
    <w:basedOn w:val="ac"/>
    <w:rsid w:val="00766DC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1">
    <w:name w:val="Основной текст (2)"/>
    <w:basedOn w:val="2"/>
    <w:rsid w:val="00766DC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
    <w:name w:val="Подпись к таблице_"/>
    <w:basedOn w:val="a0"/>
    <w:rsid w:val="00766DC5"/>
    <w:rPr>
      <w:rFonts w:ascii="Times New Roman" w:eastAsia="Times New Roman" w:hAnsi="Times New Roman" w:cs="Times New Roman"/>
      <w:b w:val="0"/>
      <w:bCs w:val="0"/>
      <w:i w:val="0"/>
      <w:iCs w:val="0"/>
      <w:smallCaps w:val="0"/>
      <w:strike w:val="0"/>
      <w:sz w:val="23"/>
      <w:szCs w:val="23"/>
      <w:u w:val="none"/>
    </w:rPr>
  </w:style>
  <w:style w:type="character" w:customStyle="1" w:styleId="22">
    <w:name w:val="Основной текст2"/>
    <w:basedOn w:val="ac"/>
    <w:rsid w:val="00766DC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0">
    <w:name w:val="Основной текст + Курсив"/>
    <w:basedOn w:val="ac"/>
    <w:rsid w:val="00766DC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aj">
    <w:name w:val="_aj"/>
    <w:basedOn w:val="a"/>
    <w:uiPriority w:val="99"/>
    <w:rsid w:val="00766DC5"/>
    <w:pPr>
      <w:spacing w:before="100" w:beforeAutospacing="1" w:after="100" w:afterAutospacing="1"/>
    </w:pPr>
  </w:style>
  <w:style w:type="character" w:styleId="af1">
    <w:name w:val="Strong"/>
    <w:uiPriority w:val="22"/>
    <w:qFormat/>
    <w:rsid w:val="00766DC5"/>
    <w:rPr>
      <w:b/>
      <w:bCs/>
    </w:rPr>
  </w:style>
  <w:style w:type="paragraph" w:styleId="af2">
    <w:name w:val="Normal (Web)"/>
    <w:basedOn w:val="a"/>
    <w:uiPriority w:val="99"/>
    <w:semiHidden/>
    <w:unhideWhenUsed/>
    <w:rsid w:val="00766DC5"/>
    <w:pPr>
      <w:spacing w:before="100" w:beforeAutospacing="1" w:after="100" w:afterAutospacing="1"/>
    </w:pPr>
  </w:style>
  <w:style w:type="paragraph" w:styleId="af3">
    <w:name w:val="Title"/>
    <w:basedOn w:val="a"/>
    <w:link w:val="af4"/>
    <w:qFormat/>
    <w:rsid w:val="00766DC5"/>
    <w:pPr>
      <w:ind w:firstLine="540"/>
      <w:jc w:val="center"/>
    </w:pPr>
    <w:rPr>
      <w:b/>
      <w:sz w:val="28"/>
      <w:szCs w:val="28"/>
    </w:rPr>
  </w:style>
  <w:style w:type="character" w:customStyle="1" w:styleId="af4">
    <w:name w:val="Заголовок Знак"/>
    <w:basedOn w:val="a0"/>
    <w:link w:val="af3"/>
    <w:rsid w:val="00766DC5"/>
    <w:rPr>
      <w:rFonts w:ascii="Times New Roman" w:eastAsia="Times New Roman" w:hAnsi="Times New Roman" w:cs="Times New Roman"/>
      <w:b/>
      <w:sz w:val="28"/>
      <w:szCs w:val="28"/>
      <w:lang w:eastAsia="ru-RU"/>
    </w:rPr>
  </w:style>
  <w:style w:type="table" w:customStyle="1" w:styleId="40">
    <w:name w:val="Сетка таблицы4"/>
    <w:basedOn w:val="a1"/>
    <w:next w:val="a5"/>
    <w:uiPriority w:val="59"/>
    <w:rsid w:val="00766D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
    <w:basedOn w:val="a1"/>
    <w:next w:val="a5"/>
    <w:uiPriority w:val="59"/>
    <w:rsid w:val="00766DC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Текст выноски1"/>
    <w:basedOn w:val="a"/>
    <w:next w:val="af5"/>
    <w:link w:val="af6"/>
    <w:uiPriority w:val="99"/>
    <w:semiHidden/>
    <w:unhideWhenUsed/>
    <w:rsid w:val="00766DC5"/>
    <w:rPr>
      <w:rFonts w:ascii="Segoe UI" w:hAnsi="Segoe UI" w:cs="Segoe UI"/>
      <w:sz w:val="18"/>
      <w:szCs w:val="18"/>
    </w:rPr>
  </w:style>
  <w:style w:type="character" w:customStyle="1" w:styleId="af6">
    <w:name w:val="Текст выноски Знак"/>
    <w:basedOn w:val="a0"/>
    <w:link w:val="19"/>
    <w:uiPriority w:val="99"/>
    <w:semiHidden/>
    <w:rsid w:val="00766DC5"/>
    <w:rPr>
      <w:rFonts w:ascii="Segoe UI" w:eastAsia="Times New Roman" w:hAnsi="Segoe UI" w:cs="Segoe UI"/>
      <w:sz w:val="18"/>
      <w:szCs w:val="18"/>
      <w:lang w:eastAsia="ru-RU"/>
    </w:rPr>
  </w:style>
  <w:style w:type="paragraph" w:styleId="a6">
    <w:name w:val="header"/>
    <w:basedOn w:val="a"/>
    <w:link w:val="1a"/>
    <w:uiPriority w:val="99"/>
    <w:unhideWhenUsed/>
    <w:rsid w:val="00766DC5"/>
    <w:pPr>
      <w:tabs>
        <w:tab w:val="center" w:pos="4677"/>
        <w:tab w:val="right" w:pos="9355"/>
      </w:tabs>
    </w:pPr>
  </w:style>
  <w:style w:type="character" w:customStyle="1" w:styleId="1a">
    <w:name w:val="Верхний колонтитул Знак1"/>
    <w:basedOn w:val="a0"/>
    <w:link w:val="a6"/>
    <w:uiPriority w:val="99"/>
    <w:rsid w:val="00766DC5"/>
    <w:rPr>
      <w:rFonts w:ascii="Times New Roman" w:eastAsia="Times New Roman" w:hAnsi="Times New Roman" w:cs="Times New Roman"/>
      <w:sz w:val="24"/>
      <w:szCs w:val="24"/>
      <w:lang w:eastAsia="ru-RU"/>
    </w:rPr>
  </w:style>
  <w:style w:type="paragraph" w:styleId="a8">
    <w:name w:val="footer"/>
    <w:basedOn w:val="a"/>
    <w:link w:val="1b"/>
    <w:uiPriority w:val="99"/>
    <w:unhideWhenUsed/>
    <w:rsid w:val="00766DC5"/>
    <w:pPr>
      <w:tabs>
        <w:tab w:val="center" w:pos="4677"/>
        <w:tab w:val="right" w:pos="9355"/>
      </w:tabs>
    </w:pPr>
  </w:style>
  <w:style w:type="character" w:customStyle="1" w:styleId="1b">
    <w:name w:val="Нижний колонтитул Знак1"/>
    <w:basedOn w:val="a0"/>
    <w:link w:val="a8"/>
    <w:uiPriority w:val="99"/>
    <w:rsid w:val="00766DC5"/>
    <w:rPr>
      <w:rFonts w:ascii="Times New Roman" w:eastAsia="Times New Roman" w:hAnsi="Times New Roman" w:cs="Times New Roman"/>
      <w:sz w:val="24"/>
      <w:szCs w:val="24"/>
      <w:lang w:eastAsia="ru-RU"/>
    </w:rPr>
  </w:style>
  <w:style w:type="paragraph" w:styleId="af5">
    <w:name w:val="Balloon Text"/>
    <w:basedOn w:val="a"/>
    <w:link w:val="1c"/>
    <w:uiPriority w:val="99"/>
    <w:semiHidden/>
    <w:unhideWhenUsed/>
    <w:rsid w:val="00766DC5"/>
    <w:rPr>
      <w:rFonts w:ascii="Segoe UI" w:hAnsi="Segoe UI" w:cs="Segoe UI"/>
      <w:sz w:val="18"/>
      <w:szCs w:val="18"/>
    </w:rPr>
  </w:style>
  <w:style w:type="character" w:customStyle="1" w:styleId="1c">
    <w:name w:val="Текст выноски Знак1"/>
    <w:basedOn w:val="a0"/>
    <w:link w:val="af5"/>
    <w:uiPriority w:val="99"/>
    <w:semiHidden/>
    <w:rsid w:val="00766DC5"/>
    <w:rPr>
      <w:rFonts w:ascii="Segoe UI" w:eastAsia="Times New Roman" w:hAnsi="Segoe UI" w:cs="Segoe UI"/>
      <w:sz w:val="18"/>
      <w:szCs w:val="18"/>
      <w:lang w:eastAsia="ru-RU"/>
    </w:rPr>
  </w:style>
  <w:style w:type="table" w:customStyle="1" w:styleId="110">
    <w:name w:val="Сетка таблицы11"/>
    <w:basedOn w:val="a1"/>
    <w:next w:val="a5"/>
    <w:uiPriority w:val="59"/>
    <w:rsid w:val="00766D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5"/>
    <w:uiPriority w:val="39"/>
    <w:rsid w:val="00766D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5"/>
    <w:uiPriority w:val="59"/>
    <w:rsid w:val="00766D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next w:val="a5"/>
    <w:uiPriority w:val="59"/>
    <w:rsid w:val="00766D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5"/>
    <w:uiPriority w:val="59"/>
    <w:rsid w:val="00766D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5"/>
    <w:uiPriority w:val="39"/>
    <w:rsid w:val="00971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824&amp;dst=1358&amp;field=134&amp;date=31.07.2024" TargetMode="External"/><Relationship Id="rId3" Type="http://schemas.openxmlformats.org/officeDocument/2006/relationships/settings" Target="settings.xml"/><Relationship Id="rId7" Type="http://schemas.openxmlformats.org/officeDocument/2006/relationships/hyperlink" Target="https://login.consultant.ru/link/?rnd=BA81E958D12512009933B7D7E24CFD52&amp;req=doc&amp;base=LAW&amp;n=335138&amp;dst=100039&amp;fld=134&amp;REFFIELD=134&amp;REFDST=100007&amp;REFDOC=20995&amp;REFBASE=QSBO&amp;stat=refcode%3D10881%3Bdstident%3D100039%3Bindex%3D11&amp;date=22.03.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37952&amp;dst=100065&amp;field=134&amp;date=31.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4510</Words>
  <Characters>25709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С.Ю.</dc:creator>
  <cp:keywords/>
  <dc:description/>
  <cp:lastModifiedBy>Фролова С.Ю.</cp:lastModifiedBy>
  <cp:revision>2</cp:revision>
  <cp:lastPrinted>2025-07-29T07:40:00Z</cp:lastPrinted>
  <dcterms:created xsi:type="dcterms:W3CDTF">2025-07-29T08:29:00Z</dcterms:created>
  <dcterms:modified xsi:type="dcterms:W3CDTF">2025-07-29T08:29:00Z</dcterms:modified>
</cp:coreProperties>
</file>